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diagrams/layout1.xml" ContentType="application/vnd.openxmlformats-officedocument.drawingml.diagramLayout+xml"/>
  <Override PartName="/word/theme/theme1.xml" ContentType="application/vnd.openxmlformats-officedocument.theme+xml"/>
  <Override PartName="/word/diagrams/quickStyle1.xml" ContentType="application/vnd.openxmlformats-officedocument.drawingml.diagramStyle+xml"/>
  <Override PartName="/word/diagrams/drawing1.xml" ContentType="application/vnd.ms-office.drawingml.diagramDrawing+xml"/>
  <Override PartName="/word/diagrams/colors1.xml" ContentType="application/vnd.openxmlformats-officedocument.drawingml.diagramColors+xml"/>
  <Override PartName="/word/settings.xml" ContentType="application/vnd.openxmlformats-officedocument.wordprocessingml.setting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47E" w:rsidRDefault="00944D46" w:rsidP="0062247E">
      <w:pPr>
        <w:spacing w:after="0" w:line="48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Addendum to Appendix N</w:t>
      </w:r>
      <w:r w:rsidR="0062247E">
        <w:rPr>
          <w:rFonts w:ascii="Times New Roman" w:eastAsia="Times New Roman" w:hAnsi="Times New Roman" w:cs="Times New Roman"/>
          <w:b/>
          <w:sz w:val="24"/>
          <w:szCs w:val="24"/>
        </w:rPr>
        <w:t xml:space="preserve">. </w:t>
      </w:r>
      <w:r w:rsidR="0062247E" w:rsidRPr="0062247E">
        <w:rPr>
          <w:rFonts w:ascii="Times New Roman" w:eastAsia="Times New Roman" w:hAnsi="Times New Roman" w:cs="Times New Roman"/>
          <w:b/>
          <w:sz w:val="24"/>
          <w:szCs w:val="24"/>
        </w:rPr>
        <w:t xml:space="preserve">POPULATION VIABILITY ANALYSIS OF WESTERN GULLS ON THE FARALLON ISLANDS IN RELATION TO POTENTIAL MORTALITY DUE TO PROPOSED HOUSE MOUSE ERADICATION </w:t>
      </w:r>
    </w:p>
    <w:p w:rsidR="0062247E" w:rsidRPr="0062247E" w:rsidRDefault="0062247E" w:rsidP="0062247E">
      <w:pPr>
        <w:spacing w:after="0" w:line="480" w:lineRule="auto"/>
        <w:contextualSpacing/>
        <w:rPr>
          <w:rFonts w:ascii="Times New Roman" w:eastAsia="Times New Roman" w:hAnsi="Times New Roman" w:cs="Times New Roman"/>
          <w:sz w:val="24"/>
          <w:szCs w:val="24"/>
        </w:rPr>
      </w:pPr>
      <w:r w:rsidRPr="0062247E">
        <w:rPr>
          <w:rFonts w:ascii="Times New Roman" w:eastAsia="Times New Roman" w:hAnsi="Times New Roman" w:cs="Times New Roman"/>
          <w:sz w:val="24"/>
          <w:szCs w:val="24"/>
        </w:rPr>
        <w:t xml:space="preserve">By Nadav Nur, Russell W. Bradley, Derek E. Lee, Pete M. Warzybok, and J. Jahncke </w:t>
      </w:r>
    </w:p>
    <w:p w:rsidR="00944D46" w:rsidRDefault="0062247E" w:rsidP="00A94C93">
      <w:pPr>
        <w:spacing w:after="0" w:line="480" w:lineRule="auto"/>
        <w:contextualSpacing/>
        <w:rPr>
          <w:rFonts w:ascii="Times New Roman" w:eastAsia="Times New Roman" w:hAnsi="Times New Roman" w:cs="Times New Roman"/>
          <w:sz w:val="24"/>
          <w:szCs w:val="24"/>
        </w:rPr>
      </w:pPr>
      <w:r w:rsidRPr="0062247E">
        <w:rPr>
          <w:rFonts w:ascii="Times New Roman" w:eastAsia="Times New Roman" w:hAnsi="Times New Roman" w:cs="Times New Roman"/>
          <w:sz w:val="24"/>
          <w:szCs w:val="24"/>
        </w:rPr>
        <w:t>Point Blue Conservation Science</w:t>
      </w:r>
      <w:r>
        <w:rPr>
          <w:rFonts w:ascii="Times New Roman" w:eastAsia="Times New Roman" w:hAnsi="Times New Roman" w:cs="Times New Roman"/>
          <w:sz w:val="24"/>
          <w:szCs w:val="24"/>
        </w:rPr>
        <w:t>, 3820 Cypress Drive #11, Petaluma, CA 94954</w:t>
      </w:r>
    </w:p>
    <w:p w:rsidR="0062247E" w:rsidRDefault="0062247E" w:rsidP="00A94C93">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March 15 2018</w:t>
      </w:r>
    </w:p>
    <w:p w:rsidR="0062247E" w:rsidRPr="0062247E" w:rsidRDefault="0062247E" w:rsidP="00A94C93">
      <w:pPr>
        <w:spacing w:after="0" w:line="480" w:lineRule="auto"/>
        <w:contextualSpacing/>
        <w:rPr>
          <w:rFonts w:ascii="Times New Roman" w:eastAsia="Times New Roman" w:hAnsi="Times New Roman" w:cs="Times New Roman"/>
          <w:b/>
          <w:sz w:val="24"/>
          <w:szCs w:val="24"/>
        </w:rPr>
      </w:pPr>
      <w:r w:rsidRPr="0062247E">
        <w:rPr>
          <w:rFonts w:ascii="Times New Roman" w:eastAsia="Times New Roman" w:hAnsi="Times New Roman" w:cs="Times New Roman"/>
          <w:b/>
          <w:sz w:val="24"/>
          <w:szCs w:val="24"/>
        </w:rPr>
        <w:t>Summary</w:t>
      </w:r>
    </w:p>
    <w:p w:rsidR="0062247E" w:rsidRPr="0062247E" w:rsidRDefault="0062247E" w:rsidP="00A94C93">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This addendum to Appendix N of the draft EIS for proposed Farallon house mouse eradication was completed by the same authors of the original 2013 report. It serves to update the original report in two ways. Firstly, the addendum provides a more detaile</w:t>
      </w:r>
      <w:r w:rsidR="000C39CD">
        <w:rPr>
          <w:rFonts w:ascii="Times New Roman" w:eastAsia="Times New Roman" w:hAnsi="Times New Roman" w:cs="Times New Roman"/>
          <w:sz w:val="24"/>
          <w:szCs w:val="24"/>
        </w:rPr>
        <w:t>d introduction to the overview o</w:t>
      </w:r>
      <w:r>
        <w:rPr>
          <w:rFonts w:ascii="Times New Roman" w:eastAsia="Times New Roman" w:hAnsi="Times New Roman" w:cs="Times New Roman"/>
          <w:sz w:val="24"/>
          <w:szCs w:val="24"/>
        </w:rPr>
        <w:t xml:space="preserve">f the population </w:t>
      </w:r>
      <w:r w:rsidR="000C39CD">
        <w:rPr>
          <w:rFonts w:ascii="Times New Roman" w:eastAsia="Times New Roman" w:hAnsi="Times New Roman" w:cs="Times New Roman"/>
          <w:sz w:val="24"/>
          <w:szCs w:val="24"/>
        </w:rPr>
        <w:t>modelling</w:t>
      </w:r>
      <w:r>
        <w:rPr>
          <w:rFonts w:ascii="Times New Roman" w:eastAsia="Times New Roman" w:hAnsi="Times New Roman" w:cs="Times New Roman"/>
          <w:sz w:val="24"/>
          <w:szCs w:val="24"/>
        </w:rPr>
        <w:t xml:space="preserve"> approach presented, and provides an explanatory figure to describe the approach. Secondly, the addendum provides Methods, Results and Discussion on the calculation of </w:t>
      </w:r>
      <w:r w:rsidRPr="0062247E">
        <w:rPr>
          <w:rFonts w:ascii="Times New Roman" w:eastAsia="Times New Roman" w:hAnsi="Times New Roman" w:cs="Times New Roman"/>
          <w:i/>
          <w:sz w:val="24"/>
          <w:szCs w:val="24"/>
        </w:rPr>
        <w:t>C</w:t>
      </w:r>
      <w:r>
        <w:rPr>
          <w:rFonts w:ascii="Times New Roman" w:eastAsia="Times New Roman" w:hAnsi="Times New Roman" w:cs="Times New Roman"/>
          <w:sz w:val="24"/>
          <w:szCs w:val="24"/>
        </w:rPr>
        <w:t xml:space="preserve">, the mortality </w:t>
      </w:r>
      <w:r w:rsidR="005A30B4">
        <w:rPr>
          <w:rFonts w:ascii="Times New Roman" w:eastAsia="Times New Roman" w:hAnsi="Times New Roman" w:cs="Times New Roman"/>
          <w:sz w:val="24"/>
          <w:szCs w:val="24"/>
        </w:rPr>
        <w:t xml:space="preserve">level where </w:t>
      </w:r>
      <w:r w:rsidR="005A30B4" w:rsidRPr="005A30B4">
        <w:rPr>
          <w:rFonts w:ascii="Times New Roman" w:eastAsia="Times New Roman" w:hAnsi="Times New Roman" w:cs="Times New Roman"/>
          <w:sz w:val="24"/>
          <w:szCs w:val="24"/>
        </w:rPr>
        <w:t xml:space="preserve">there would be 95% overlap in </w:t>
      </w:r>
      <w:r w:rsidR="005A30B4">
        <w:rPr>
          <w:rFonts w:ascii="Times New Roman" w:eastAsia="Times New Roman" w:hAnsi="Times New Roman" w:cs="Times New Roman"/>
          <w:sz w:val="24"/>
          <w:szCs w:val="24"/>
        </w:rPr>
        <w:t xml:space="preserve">modelled </w:t>
      </w:r>
      <w:r w:rsidR="005A30B4" w:rsidRPr="005A30B4">
        <w:rPr>
          <w:rFonts w:ascii="Times New Roman" w:eastAsia="Times New Roman" w:hAnsi="Times New Roman" w:cs="Times New Roman"/>
          <w:sz w:val="24"/>
          <w:szCs w:val="24"/>
        </w:rPr>
        <w:t>populat</w:t>
      </w:r>
      <w:r w:rsidR="005A30B4">
        <w:rPr>
          <w:rFonts w:ascii="Times New Roman" w:eastAsia="Times New Roman" w:hAnsi="Times New Roman" w:cs="Times New Roman"/>
          <w:sz w:val="24"/>
          <w:szCs w:val="24"/>
        </w:rPr>
        <w:t>ion size after 20 years comparing all three</w:t>
      </w:r>
      <w:r w:rsidR="005A30B4" w:rsidRPr="005A30B4">
        <w:rPr>
          <w:rFonts w:ascii="Times New Roman" w:eastAsia="Times New Roman" w:hAnsi="Times New Roman" w:cs="Times New Roman"/>
          <w:sz w:val="24"/>
          <w:szCs w:val="24"/>
        </w:rPr>
        <w:t xml:space="preserve"> </w:t>
      </w:r>
      <w:r w:rsidR="005A30B4">
        <w:rPr>
          <w:rFonts w:ascii="Times New Roman" w:eastAsia="Times New Roman" w:hAnsi="Times New Roman" w:cs="Times New Roman"/>
          <w:sz w:val="24"/>
          <w:szCs w:val="24"/>
        </w:rPr>
        <w:t xml:space="preserve">examined </w:t>
      </w:r>
      <w:r w:rsidR="005A30B4" w:rsidRPr="005A30B4">
        <w:rPr>
          <w:rFonts w:ascii="Times New Roman" w:eastAsia="Times New Roman" w:hAnsi="Times New Roman" w:cs="Times New Roman"/>
          <w:sz w:val="24"/>
          <w:szCs w:val="24"/>
        </w:rPr>
        <w:t>Environmental Scenario (Optimistic, Realistic, or Pessimi</w:t>
      </w:r>
      <w:r w:rsidR="005A30B4">
        <w:rPr>
          <w:rFonts w:ascii="Times New Roman" w:eastAsia="Times New Roman" w:hAnsi="Times New Roman" w:cs="Times New Roman"/>
          <w:sz w:val="24"/>
          <w:szCs w:val="24"/>
        </w:rPr>
        <w:t xml:space="preserve">stic) with no </w:t>
      </w:r>
      <w:r w:rsidR="00AD1280">
        <w:rPr>
          <w:rFonts w:ascii="Times New Roman" w:eastAsia="Times New Roman" w:hAnsi="Times New Roman" w:cs="Times New Roman"/>
          <w:sz w:val="24"/>
          <w:szCs w:val="24"/>
        </w:rPr>
        <w:t>mortality</w:t>
      </w:r>
      <w:r w:rsidR="005A30B4">
        <w:rPr>
          <w:rFonts w:ascii="Times New Roman" w:eastAsia="Times New Roman" w:hAnsi="Times New Roman" w:cs="Times New Roman"/>
          <w:sz w:val="24"/>
          <w:szCs w:val="24"/>
        </w:rPr>
        <w:t xml:space="preserve"> models</w:t>
      </w:r>
      <w:r w:rsidR="005A30B4" w:rsidRPr="005A30B4">
        <w:rPr>
          <w:rFonts w:ascii="Times New Roman" w:eastAsia="Times New Roman" w:hAnsi="Times New Roman" w:cs="Times New Roman"/>
          <w:sz w:val="24"/>
          <w:szCs w:val="24"/>
        </w:rPr>
        <w:t>.</w:t>
      </w:r>
      <w:r w:rsidR="005A30B4">
        <w:rPr>
          <w:rFonts w:ascii="Times New Roman" w:eastAsia="Times New Roman" w:hAnsi="Times New Roman" w:cs="Times New Roman"/>
          <w:sz w:val="24"/>
          <w:szCs w:val="24"/>
        </w:rPr>
        <w:t xml:space="preserve"> The original report only assessed this for the “Realistic” environmental scenario.</w:t>
      </w:r>
    </w:p>
    <w:p w:rsidR="00A94C93" w:rsidRPr="00A94C93" w:rsidRDefault="00A94C93" w:rsidP="00A94C93">
      <w:pPr>
        <w:spacing w:after="0" w:line="480" w:lineRule="auto"/>
        <w:contextualSpacing/>
        <w:rPr>
          <w:rFonts w:ascii="Times New Roman" w:eastAsia="Times New Roman" w:hAnsi="Times New Roman" w:cs="Times New Roman"/>
          <w:b/>
          <w:sz w:val="24"/>
          <w:szCs w:val="24"/>
        </w:rPr>
      </w:pPr>
      <w:r w:rsidRPr="00A94C93">
        <w:rPr>
          <w:rFonts w:ascii="Times New Roman" w:eastAsia="Times New Roman" w:hAnsi="Times New Roman" w:cs="Times New Roman"/>
          <w:b/>
          <w:sz w:val="24"/>
          <w:szCs w:val="24"/>
        </w:rPr>
        <w:t>Overview of Approach</w:t>
      </w:r>
    </w:p>
    <w:p w:rsidR="00A94C93" w:rsidRDefault="00A94C93" w:rsidP="00A94C93">
      <w:pPr>
        <w:spacing w:after="0" w:line="480" w:lineRule="auto"/>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Our approach was to first develop a population dynamic model for the South Farallon population of Western gulls using the best available information (published and unpublished) that captures current population trend and incorporates stochasticity in the </w:t>
      </w:r>
      <w:r w:rsidR="00C173BA">
        <w:rPr>
          <w:rFonts w:ascii="Times New Roman" w:eastAsia="Times New Roman" w:hAnsi="Times New Roman" w:cs="Times New Roman"/>
          <w:sz w:val="24"/>
          <w:szCs w:val="24"/>
        </w:rPr>
        <w:t>demographic parameters (Figure 1</w:t>
      </w:r>
      <w:r w:rsidRPr="00A94C93">
        <w:rPr>
          <w:rFonts w:ascii="Times New Roman" w:eastAsia="Times New Roman" w:hAnsi="Times New Roman" w:cs="Times New Roman"/>
          <w:sz w:val="24"/>
          <w:szCs w:val="24"/>
        </w:rPr>
        <w:t>).  To develop the model we analyzed demographic data from the study population of Western Gulls as necessary to e</w:t>
      </w:r>
      <w:r w:rsidR="00A12533">
        <w:rPr>
          <w:rFonts w:ascii="Times New Roman" w:eastAsia="Times New Roman" w:hAnsi="Times New Roman" w:cs="Times New Roman"/>
          <w:sz w:val="24"/>
          <w:szCs w:val="24"/>
        </w:rPr>
        <w:t>stimate demographic parameters</w:t>
      </w:r>
      <w:r w:rsidRPr="00A94C93">
        <w:rPr>
          <w:rFonts w:ascii="Times New Roman" w:eastAsia="Times New Roman" w:hAnsi="Times New Roman" w:cs="Times New Roman"/>
          <w:sz w:val="24"/>
          <w:szCs w:val="24"/>
        </w:rPr>
        <w:t>. These analyses either used the full time series (1986-2009) or the more recent years (1999-2009), whichever was more approp</w:t>
      </w:r>
      <w:r w:rsidR="00A12533">
        <w:rPr>
          <w:rFonts w:ascii="Times New Roman" w:eastAsia="Times New Roman" w:hAnsi="Times New Roman" w:cs="Times New Roman"/>
          <w:sz w:val="24"/>
          <w:szCs w:val="24"/>
        </w:rPr>
        <w:t xml:space="preserve">riate as </w:t>
      </w:r>
      <w:r w:rsidR="00A12533">
        <w:rPr>
          <w:rFonts w:ascii="Times New Roman" w:eastAsia="Times New Roman" w:hAnsi="Times New Roman" w:cs="Times New Roman"/>
          <w:sz w:val="24"/>
          <w:szCs w:val="24"/>
        </w:rPr>
        <w:lastRenderedPageBreak/>
        <w:t>explained in the Methods</w:t>
      </w:r>
      <w:r w:rsidRPr="00A94C93">
        <w:rPr>
          <w:rFonts w:ascii="Times New Roman" w:eastAsia="Times New Roman" w:hAnsi="Times New Roman" w:cs="Times New Roman"/>
          <w:sz w:val="24"/>
          <w:szCs w:val="24"/>
        </w:rPr>
        <w:t xml:space="preserve">. These analyses were used to determine age-specific variation in the parameters needed for the Leslie matrix. The analyses also quantified annual variation in demographic parameters and established the degree of stochasticity in those parameters for the model. We then simulated three different environmental scenarios, in which the frequency of years with high reproductive failure in the future did not re-occur (“Optimistic”), occurred at low, historic frequency (“Realistic”), or occurred at the more recent, elevated frequency (“Pessimistic”). We projected future population change under these three scenarios over 20 years.  We then compared those simulation results, with no additional mortality, to a comparable set of simulations in which a one-time mortality event occurred in Year 0 in which </w:t>
      </w:r>
      <w:r w:rsidRPr="00A94C93">
        <w:rPr>
          <w:rFonts w:ascii="Times New Roman" w:eastAsia="Times New Roman" w:hAnsi="Times New Roman" w:cs="Times New Roman"/>
          <w:i/>
          <w:sz w:val="24"/>
          <w:szCs w:val="24"/>
        </w:rPr>
        <w:t xml:space="preserve">C </w:t>
      </w:r>
      <w:r w:rsidRPr="00A94C93">
        <w:rPr>
          <w:rFonts w:ascii="Times New Roman" w:eastAsia="Times New Roman" w:hAnsi="Times New Roman" w:cs="Times New Roman"/>
          <w:sz w:val="24"/>
          <w:szCs w:val="24"/>
        </w:rPr>
        <w:t>Western gulls died.</w:t>
      </w:r>
      <w:r w:rsidRPr="00A94C93">
        <w:rPr>
          <w:rFonts w:ascii="Calibri" w:eastAsia="Calibri" w:hAnsi="Calibri" w:cs="Times New Roman"/>
          <w:szCs w:val="21"/>
        </w:rPr>
        <w:t xml:space="preserve"> </w:t>
      </w:r>
      <w:r w:rsidRPr="00A94C93">
        <w:rPr>
          <w:rFonts w:ascii="Times New Roman" w:eastAsia="Times New Roman" w:hAnsi="Times New Roman" w:cs="Times New Roman"/>
          <w:sz w:val="24"/>
          <w:szCs w:val="24"/>
        </w:rPr>
        <w:t>We define the threshold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as the number of gulls killed at year 0 at which there is no ecologically distinguishable impact in modelled population size results with and without mortality after 20 years. We determined the magnitude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such that there would be 95% overlap in population size in Year 20 comparing an Environmental Scenario (Optimistic, Realistic, or Pessimistic) with additional mortality to the same scenario without additional mortality. We compared the frequency distribution of outcomes, varying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in order to obtain 95% overlap. Our assumption was that if overlap was 95% or greater between two scenarios (with and without mortality of C gulls) then the two were ecologically indistinguishable. The following describes our approach in detail.</w:t>
      </w:r>
    </w:p>
    <w:p w:rsidR="00A94C93" w:rsidRPr="00A94C93" w:rsidRDefault="000C39CD" w:rsidP="00A94C93">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Methods: </w:t>
      </w:r>
      <w:r w:rsidR="00A94C93" w:rsidRPr="00A94C93">
        <w:rPr>
          <w:rFonts w:ascii="Times New Roman" w:eastAsia="Times New Roman" w:hAnsi="Times New Roman" w:cs="Times New Roman"/>
          <w:b/>
          <w:sz w:val="24"/>
          <w:szCs w:val="24"/>
        </w:rPr>
        <w:t>Starting Population Size, Mortality Scenarios, and Simulations</w:t>
      </w:r>
    </w:p>
    <w:p w:rsidR="00A94C93" w:rsidRPr="00A94C93" w:rsidRDefault="00A94C93" w:rsidP="00A94C93">
      <w:pPr>
        <w:spacing w:after="0" w:line="480" w:lineRule="auto"/>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The Leslie matrix population model was implemented using a post-breeding census (Caswell 2001, </w:t>
      </w:r>
      <w:proofErr w:type="spellStart"/>
      <w:r w:rsidRPr="00A94C93">
        <w:rPr>
          <w:rFonts w:ascii="Times New Roman" w:eastAsia="Times New Roman" w:hAnsi="Times New Roman" w:cs="Times New Roman"/>
          <w:sz w:val="24"/>
          <w:szCs w:val="24"/>
        </w:rPr>
        <w:t>Akçakaya</w:t>
      </w:r>
      <w:proofErr w:type="spellEnd"/>
      <w:r w:rsidRPr="00A94C93">
        <w:rPr>
          <w:rFonts w:ascii="Times New Roman" w:eastAsia="Times New Roman" w:hAnsi="Times New Roman" w:cs="Times New Roman"/>
          <w:sz w:val="24"/>
          <w:szCs w:val="24"/>
        </w:rPr>
        <w:t xml:space="preserve"> 2005).  Hence, the youngest age class in the simulations refers to juvenile individuals who have just fledged.  The simulations were of the entire population, juveniles, sub-adults, and adults.  There was no evidence that survival or reproductive rates vary in relation to </w:t>
      </w:r>
      <w:r w:rsidRPr="00A94C93">
        <w:rPr>
          <w:rFonts w:ascii="Times New Roman" w:eastAsia="Times New Roman" w:hAnsi="Times New Roman" w:cs="Times New Roman"/>
          <w:sz w:val="24"/>
          <w:szCs w:val="24"/>
        </w:rPr>
        <w:lastRenderedPageBreak/>
        <w:t xml:space="preserve">population size or density for this population (Point Blue unpublished).  Therefore we assumed population parameters to be independent of density (Nur &amp; </w:t>
      </w:r>
      <w:proofErr w:type="spellStart"/>
      <w:r w:rsidRPr="00A94C93">
        <w:rPr>
          <w:rFonts w:ascii="Times New Roman" w:eastAsia="Times New Roman" w:hAnsi="Times New Roman" w:cs="Times New Roman"/>
          <w:sz w:val="24"/>
          <w:szCs w:val="24"/>
        </w:rPr>
        <w:t>Sydeman</w:t>
      </w:r>
      <w:proofErr w:type="spellEnd"/>
      <w:r w:rsidRPr="00A94C93">
        <w:rPr>
          <w:rFonts w:ascii="Times New Roman" w:eastAsia="Times New Roman" w:hAnsi="Times New Roman" w:cs="Times New Roman"/>
          <w:sz w:val="24"/>
          <w:szCs w:val="24"/>
        </w:rPr>
        <w:t xml:space="preserve"> 1999a).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The starting total population size for the simulations was 32,200 individuals, including all age classes, in the absence of any additional mortality.  To obtain this value we started with the best estimate for initial breeding population size most relevant to the time series examined here, 17,400 observed in 2011 (P. Warzybok, R. Bradley unpublished); this value was similar to the 2009-2011 three-year average of 17,100.  Assuming average breeding probability and the long-term age structure implied by the elements of the Leslie matrix (Caswell 2001), given 17,400 breeding individuals, we expect an additional 14,800 juveniles, sub-adults, and non-breeding adults in the population.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In scenarios with mortality, the starting population size in year 0 was 32,200 –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where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represents the number of gulls removed from the population as a r</w:t>
      </w:r>
      <w:r w:rsidR="00A12533">
        <w:rPr>
          <w:rFonts w:ascii="Times New Roman" w:eastAsia="Times New Roman" w:hAnsi="Times New Roman" w:cs="Times New Roman"/>
          <w:sz w:val="24"/>
          <w:szCs w:val="24"/>
        </w:rPr>
        <w:t>esult of a mortality event</w:t>
      </w:r>
      <w:r w:rsidRPr="00A94C93">
        <w:rPr>
          <w:rFonts w:ascii="Times New Roman" w:eastAsia="Times New Roman" w:hAnsi="Times New Roman" w:cs="Times New Roman"/>
          <w:sz w:val="24"/>
          <w:szCs w:val="24"/>
        </w:rPr>
        <w:t xml:space="preserve">.  For these scenarios, we assumed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were removed in proportion to the age distribution of the total population, as there are no data to suggest the risk of mortality differs between age classes.  </w:t>
      </w:r>
    </w:p>
    <w:p w:rsidR="00A94C93" w:rsidRPr="00A94C93" w:rsidRDefault="00A94C93" w:rsidP="00A94C93">
      <w:pPr>
        <w:spacing w:after="0" w:line="480" w:lineRule="auto"/>
        <w:ind w:firstLine="432"/>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This value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was determined from an assessment of whether the set of outcomes under a “no-additional-mortality” scenario (henceforth “no mortality”) was different from the set of outcomes under an “additional mortality” scenario.  We did this for each of the three Environmental Scenarios (“Optimistic”, “Realistic” and “Pessimistic”) by assessing overlap of the modeled distributions of simulated total population size after 20 years.  We defined two probability distributions to be different if the overlap of one with the other was less than 95%.  Thus, if the no-mortality distribution overlapped the additional mortality distribution by 95% or more, we considered the two distributions to be effectively indistinguishable even though their </w:t>
      </w:r>
      <w:r w:rsidRPr="00A94C93">
        <w:rPr>
          <w:rFonts w:ascii="Times New Roman" w:eastAsia="Times New Roman" w:hAnsi="Times New Roman" w:cs="Times New Roman"/>
          <w:sz w:val="24"/>
          <w:szCs w:val="24"/>
        </w:rPr>
        <w:lastRenderedPageBreak/>
        <w:t>medians may be statistically different.  Evaluating the null hypothesis of no difference in median (or mean) was</w:t>
      </w:r>
      <w:r w:rsidR="000C39CD">
        <w:rPr>
          <w:rFonts w:ascii="Times New Roman" w:eastAsia="Times New Roman" w:hAnsi="Times New Roman" w:cs="Times New Roman"/>
          <w:sz w:val="24"/>
          <w:szCs w:val="24"/>
        </w:rPr>
        <w:t xml:space="preserve"> not very relevant</w:t>
      </w:r>
      <w:r w:rsidRPr="00A94C93">
        <w:rPr>
          <w:rFonts w:ascii="Times New Roman" w:eastAsia="Times New Roman" w:hAnsi="Times New Roman" w:cs="Times New Roman"/>
          <w:sz w:val="24"/>
          <w:szCs w:val="24"/>
        </w:rPr>
        <w:t xml:space="preserve">, since we know that we removed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from one scenario (“mortality”) compared to the other (“no mortality”).  Instead, we are assessing whether the population change “signal” resulting from removal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is still evident after 20 years of stochastic variability.</w:t>
      </w:r>
    </w:p>
    <w:p w:rsidR="00A94C93" w:rsidRPr="00A94C93" w:rsidRDefault="00A94C93" w:rsidP="00A94C93">
      <w:pPr>
        <w:spacing w:after="0" w:line="480" w:lineRule="auto"/>
        <w:ind w:firstLine="432"/>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To operationalize this definition we first identified the median of the no mortality distribution, which we call </w:t>
      </w:r>
      <w:proofErr w:type="spellStart"/>
      <w:r w:rsidRPr="00A94C93">
        <w:rPr>
          <w:rFonts w:ascii="Times New Roman" w:eastAsia="Times New Roman" w:hAnsi="Times New Roman" w:cs="Times New Roman"/>
          <w:sz w:val="24"/>
          <w:szCs w:val="24"/>
        </w:rPr>
        <w:t>m</w:t>
      </w:r>
      <w:r w:rsidRPr="00A94C93">
        <w:rPr>
          <w:rFonts w:ascii="Times New Roman" w:eastAsia="Times New Roman" w:hAnsi="Times New Roman" w:cs="Times New Roman"/>
          <w:sz w:val="24"/>
          <w:szCs w:val="24"/>
          <w:vertAlign w:val="subscript"/>
        </w:rPr>
        <w:t>no</w:t>
      </w:r>
      <w:proofErr w:type="spellEnd"/>
      <w:r w:rsidRPr="00A94C93">
        <w:rPr>
          <w:rFonts w:ascii="Times New Roman" w:eastAsia="Times New Roman" w:hAnsi="Times New Roman" w:cs="Times New Roman"/>
          <w:sz w:val="24"/>
          <w:szCs w:val="24"/>
        </w:rPr>
        <w:t xml:space="preserve">.  We then analyzed the distribution of outcomes under the same conditions except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were removed at the outset. We determined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by varying it in increments of 100 and identifying the value at which, with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gulls removed, the distribution of outcomes had been shifted by 5% (i.e., 55% of outcomes were now below the original median) when compared with the “no mortality” scenario.  A displacement in the distribution by 5%, specifically from 50% below </w:t>
      </w:r>
      <w:proofErr w:type="spellStart"/>
      <w:r w:rsidRPr="00A94C93">
        <w:rPr>
          <w:rFonts w:ascii="Times New Roman" w:eastAsia="Times New Roman" w:hAnsi="Times New Roman" w:cs="Times New Roman"/>
          <w:sz w:val="24"/>
          <w:szCs w:val="24"/>
        </w:rPr>
        <w:t>m</w:t>
      </w:r>
      <w:r w:rsidRPr="00A94C93">
        <w:rPr>
          <w:rFonts w:ascii="Times New Roman" w:eastAsia="Times New Roman" w:hAnsi="Times New Roman" w:cs="Times New Roman"/>
          <w:sz w:val="24"/>
          <w:szCs w:val="24"/>
          <w:vertAlign w:val="subscript"/>
        </w:rPr>
        <w:t>no</w:t>
      </w:r>
      <w:proofErr w:type="spellEnd"/>
      <w:r w:rsidRPr="00A94C93">
        <w:rPr>
          <w:rFonts w:ascii="Times New Roman" w:eastAsia="Times New Roman" w:hAnsi="Times New Roman" w:cs="Times New Roman"/>
          <w:sz w:val="24"/>
          <w:szCs w:val="24"/>
        </w:rPr>
        <w:t xml:space="preserve"> to 55% of outcomes below </w:t>
      </w:r>
      <w:proofErr w:type="spellStart"/>
      <w:r w:rsidRPr="00A94C93">
        <w:rPr>
          <w:rFonts w:ascii="Times New Roman" w:eastAsia="Times New Roman" w:hAnsi="Times New Roman" w:cs="Times New Roman"/>
          <w:sz w:val="24"/>
          <w:szCs w:val="24"/>
        </w:rPr>
        <w:t>m</w:t>
      </w:r>
      <w:r w:rsidRPr="00A94C93">
        <w:rPr>
          <w:rFonts w:ascii="Times New Roman" w:eastAsia="Times New Roman" w:hAnsi="Times New Roman" w:cs="Times New Roman"/>
          <w:sz w:val="24"/>
          <w:szCs w:val="24"/>
          <w:vertAlign w:val="subscript"/>
        </w:rPr>
        <w:t>no</w:t>
      </w:r>
      <w:proofErr w:type="spellEnd"/>
      <w:r w:rsidRPr="00A94C93">
        <w:rPr>
          <w:rFonts w:ascii="Times New Roman" w:eastAsia="Times New Roman" w:hAnsi="Times New Roman" w:cs="Times New Roman"/>
          <w:sz w:val="24"/>
          <w:szCs w:val="24"/>
        </w:rPr>
        <w:t xml:space="preserve">, is equivalent to an overlap of 95% between two distributions, assuming the two distributions differ only in their location and have the same shape and spread, and acknowledging that the tails of these distributions are subject to random error.  Note that a displacement of 0% implies an overlap of 100%, whereas a displacement of 50% necessarily entails an overlap of 50%.  In the latter case, 50% of the original distribution lies above the maximum value observed for the new distribution.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We repeated this exercise for each of the three Environmental Scenarios, “Optimistic”, “Realistic”, and “Pessimistic.” All scenarios depict results based on 10,000 simulations, the maximum for the RAMAS program.  For the calculations of overlap of distributions, however, we used 30,000 simulations, combining results of three different runs of 10,000 simulations each in order to more precisely characterize the degree of overlap. </w:t>
      </w:r>
    </w:p>
    <w:p w:rsidR="00A94C93" w:rsidRPr="00A94C93" w:rsidRDefault="00A94C93" w:rsidP="00A94C93">
      <w:pPr>
        <w:spacing w:after="0" w:line="480" w:lineRule="auto"/>
        <w:ind w:firstLine="432"/>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lastRenderedPageBreak/>
        <w:t xml:space="preserve">In summary, the value of </w:t>
      </w:r>
      <w:r w:rsidRPr="00A94C93">
        <w:rPr>
          <w:rFonts w:ascii="Times New Roman" w:eastAsia="Times New Roman" w:hAnsi="Times New Roman" w:cs="Times New Roman"/>
          <w:i/>
          <w:sz w:val="24"/>
          <w:szCs w:val="24"/>
        </w:rPr>
        <w:t xml:space="preserve">C </w:t>
      </w:r>
      <w:r w:rsidRPr="00A94C93">
        <w:rPr>
          <w:rFonts w:ascii="Times New Roman" w:eastAsia="Times New Roman" w:hAnsi="Times New Roman" w:cs="Times New Roman"/>
          <w:sz w:val="24"/>
          <w:szCs w:val="24"/>
        </w:rPr>
        <w:t xml:space="preserve">obtained in these modeling exercises represents the maximum level of mortality that produced ecologically indistinguishable differences in the probability distributions of Western gull population size 20 years into the future when compared to the no-additional-mortality distribution. </w:t>
      </w:r>
    </w:p>
    <w:p w:rsidR="00A94C93" w:rsidRPr="00A94C93" w:rsidRDefault="000C39CD" w:rsidP="00A94C93">
      <w:pPr>
        <w:spacing w:after="0" w:line="48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Results: </w:t>
      </w:r>
      <w:r w:rsidR="00A94C93" w:rsidRPr="00A94C93">
        <w:rPr>
          <w:rFonts w:ascii="Times New Roman" w:eastAsia="Times New Roman" w:hAnsi="Times New Roman" w:cs="Times New Roman"/>
          <w:b/>
          <w:sz w:val="24"/>
          <w:szCs w:val="24"/>
        </w:rPr>
        <w:t xml:space="preserve">Determination of Mortality Threshold, </w:t>
      </w:r>
      <w:r w:rsidR="00A94C93" w:rsidRPr="00A94C93">
        <w:rPr>
          <w:rFonts w:ascii="Times New Roman" w:eastAsia="Times New Roman" w:hAnsi="Times New Roman" w:cs="Times New Roman"/>
          <w:b/>
          <w:i/>
          <w:sz w:val="24"/>
          <w:szCs w:val="24"/>
        </w:rPr>
        <w:t>C</w:t>
      </w:r>
    </w:p>
    <w:p w:rsidR="00A94C93" w:rsidRPr="00A94C93" w:rsidRDefault="00A94C93" w:rsidP="00A94C93">
      <w:pPr>
        <w:spacing w:after="0" w:line="480" w:lineRule="auto"/>
        <w:contextualSpacing/>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By simulating results with different mortality levels, we determined that, for the “Realistic” Scenario, removal of 1700 gulls results in a shifting of the probability distribution of population size after 20 years by 5% and thus represents 95% overlap between the “mortality” and “no additional mortality” scenarios. What had been the 50</w:t>
      </w:r>
      <w:r w:rsidRPr="00A94C93">
        <w:rPr>
          <w:rFonts w:ascii="Times New Roman" w:eastAsia="Times New Roman" w:hAnsi="Times New Roman" w:cs="Times New Roman"/>
          <w:sz w:val="24"/>
          <w:szCs w:val="24"/>
          <w:vertAlign w:val="superscript"/>
        </w:rPr>
        <w:t>th</w:t>
      </w:r>
      <w:r w:rsidRPr="00A94C93">
        <w:rPr>
          <w:rFonts w:ascii="Times New Roman" w:eastAsia="Times New Roman" w:hAnsi="Times New Roman" w:cs="Times New Roman"/>
          <w:sz w:val="24"/>
          <w:szCs w:val="24"/>
        </w:rPr>
        <w:t xml:space="preserve"> percentile under “No additional mortality” (8.7% decline) becomes the 55</w:t>
      </w:r>
      <w:r w:rsidRPr="00A94C93">
        <w:rPr>
          <w:rFonts w:ascii="Times New Roman" w:eastAsia="Times New Roman" w:hAnsi="Times New Roman" w:cs="Times New Roman"/>
          <w:sz w:val="24"/>
          <w:szCs w:val="24"/>
          <w:vertAlign w:val="superscript"/>
        </w:rPr>
        <w:t>th</w:t>
      </w:r>
      <w:r w:rsidRPr="00A94C93">
        <w:rPr>
          <w:rFonts w:ascii="Times New Roman" w:eastAsia="Times New Roman" w:hAnsi="Times New Roman" w:cs="Times New Roman"/>
          <w:sz w:val="24"/>
          <w:szCs w:val="24"/>
        </w:rPr>
        <w:t xml:space="preserve"> percentile under assumption of “Mortality of 1700 gulls” at year 0 of the </w:t>
      </w:r>
      <w:proofErr w:type="gramStart"/>
      <w:r w:rsidRPr="00A94C93">
        <w:rPr>
          <w:rFonts w:ascii="Times New Roman" w:eastAsia="Times New Roman" w:hAnsi="Times New Roman" w:cs="Times New Roman"/>
          <w:sz w:val="24"/>
          <w:szCs w:val="24"/>
        </w:rPr>
        <w:t>simulation.</w:t>
      </w:r>
      <w:proofErr w:type="gramEnd"/>
      <w:r w:rsidRPr="00A94C93">
        <w:rPr>
          <w:rFonts w:ascii="Times New Roman" w:eastAsia="Times New Roman" w:hAnsi="Times New Roman" w:cs="Times New Roman"/>
          <w:sz w:val="24"/>
          <w:szCs w:val="24"/>
        </w:rPr>
        <w:t xml:space="preserve">  Using the same methods, we determined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for the “Optimistic” Scenario was 1100, and for the “Pessimistic” Scenario was 1900. The 95% CI for the calculations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in all scenarios was approximately ± 300 individuals. Thus,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increased as the proportion of “bad” </w:t>
      </w:r>
      <w:r w:rsidR="00861DAC">
        <w:rPr>
          <w:rFonts w:ascii="Times New Roman" w:eastAsia="Times New Roman" w:hAnsi="Times New Roman" w:cs="Times New Roman"/>
          <w:sz w:val="24"/>
          <w:szCs w:val="24"/>
        </w:rPr>
        <w:t xml:space="preserve">breeding </w:t>
      </w:r>
      <w:r w:rsidRPr="00A94C93">
        <w:rPr>
          <w:rFonts w:ascii="Times New Roman" w:eastAsia="Times New Roman" w:hAnsi="Times New Roman" w:cs="Times New Roman"/>
          <w:sz w:val="24"/>
          <w:szCs w:val="24"/>
        </w:rPr>
        <w:t>years increased in the simulations.</w:t>
      </w:r>
    </w:p>
    <w:p w:rsidR="00A94C93" w:rsidRPr="00A94C93" w:rsidRDefault="00A12533" w:rsidP="00A94C93">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Discussion of </w:t>
      </w:r>
      <w:r w:rsidR="00A94C93" w:rsidRPr="00A94C93">
        <w:rPr>
          <w:rFonts w:ascii="Times New Roman" w:eastAsia="Times New Roman" w:hAnsi="Times New Roman" w:cs="Times New Roman"/>
          <w:b/>
          <w:sz w:val="24"/>
          <w:szCs w:val="24"/>
        </w:rPr>
        <w:t xml:space="preserve">Long-term Mortality Impacts and the Mortality Threshold, </w:t>
      </w:r>
      <w:r w:rsidR="00A94C93" w:rsidRPr="00A94C93">
        <w:rPr>
          <w:rFonts w:ascii="Times New Roman" w:eastAsia="Times New Roman" w:hAnsi="Times New Roman" w:cs="Times New Roman"/>
          <w:b/>
          <w:i/>
          <w:sz w:val="24"/>
          <w:szCs w:val="24"/>
        </w:rPr>
        <w:t>C</w:t>
      </w:r>
    </w:p>
    <w:p w:rsidR="00A94C93" w:rsidRPr="00A94C93" w:rsidRDefault="00A94C93" w:rsidP="00A94C93">
      <w:pPr>
        <w:spacing w:after="0" w:line="480" w:lineRule="auto"/>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t xml:space="preserve">We determined the level of mortality,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that produced 95% overlap in the probability distributions of Western gull population size 20 years in the future, for scenarios with and without mortality, under “Realistic” productivity conditions.  Given our estimates of the total Farallon population of 32,200 birds in 2011, the value of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was 1700 gulls. These results are independent of any assessment of actual risk to this Western gull population from rodenticide exposure in a proposed eradication effort; instead, results obtained apply to any mortality event of relatively short duration.  </w:t>
      </w:r>
    </w:p>
    <w:p w:rsidR="00A94C93" w:rsidRPr="00A94C93" w:rsidRDefault="00A94C93" w:rsidP="00A94C93">
      <w:pPr>
        <w:spacing w:after="0" w:line="480" w:lineRule="auto"/>
        <w:ind w:firstLine="432"/>
        <w:rPr>
          <w:rFonts w:ascii="Times New Roman" w:eastAsia="Times New Roman" w:hAnsi="Times New Roman" w:cs="Times New Roman"/>
          <w:sz w:val="24"/>
          <w:szCs w:val="24"/>
        </w:rPr>
      </w:pPr>
      <w:r w:rsidRPr="00A94C93">
        <w:rPr>
          <w:rFonts w:ascii="Times New Roman" w:eastAsia="Times New Roman" w:hAnsi="Times New Roman" w:cs="Times New Roman"/>
          <w:sz w:val="24"/>
          <w:szCs w:val="24"/>
        </w:rPr>
        <w:lastRenderedPageBreak/>
        <w:t xml:space="preserve">This value is substantial, and reflects the high degree of stochasticity associated with the three demographic parameters, especially for reproductive success.  We also found that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varied with environmental scenario; </w:t>
      </w:r>
      <w:r w:rsidRPr="00A94C93">
        <w:rPr>
          <w:rFonts w:ascii="Times New Roman" w:eastAsia="Times New Roman" w:hAnsi="Times New Roman" w:cs="Times New Roman"/>
          <w:i/>
          <w:sz w:val="24"/>
          <w:szCs w:val="24"/>
        </w:rPr>
        <w:t>C</w:t>
      </w:r>
      <w:r w:rsidRPr="00A94C93">
        <w:rPr>
          <w:rFonts w:ascii="Times New Roman" w:eastAsia="Times New Roman" w:hAnsi="Times New Roman" w:cs="Times New Roman"/>
          <w:sz w:val="24"/>
          <w:szCs w:val="24"/>
        </w:rPr>
        <w:t xml:space="preserve"> was 1100 under the “Optimistic” scenario and was 1900 under the “Pessimistic” scenario.  While it might seem counterintuitive that a lower level of mortality is sufficient to shift the outcome distribution by 5% under “Optimistic” conditions, compared to the “Realistic” and “Pessimistic” scenarios, these results are consist</w:t>
      </w:r>
      <w:r w:rsidR="00861DAC">
        <w:rPr>
          <w:rFonts w:ascii="Times New Roman" w:eastAsia="Times New Roman" w:hAnsi="Times New Roman" w:cs="Times New Roman"/>
          <w:sz w:val="24"/>
          <w:szCs w:val="24"/>
        </w:rPr>
        <w:t>ent with our finding that the coefficient of variation</w:t>
      </w:r>
      <w:r w:rsidR="00330D26">
        <w:rPr>
          <w:rFonts w:ascii="Times New Roman" w:eastAsia="Times New Roman" w:hAnsi="Times New Roman" w:cs="Times New Roman"/>
          <w:sz w:val="24"/>
          <w:szCs w:val="24"/>
        </w:rPr>
        <w:t xml:space="preserve"> (CV)</w:t>
      </w:r>
      <w:r w:rsidRPr="00A94C93">
        <w:rPr>
          <w:rFonts w:ascii="Times New Roman" w:eastAsia="Times New Roman" w:hAnsi="Times New Roman" w:cs="Times New Roman"/>
          <w:sz w:val="24"/>
          <w:szCs w:val="24"/>
        </w:rPr>
        <w:t xml:space="preserve"> of population outcome was greatest for the “Pessimistic” scenario (0.41) and lowest for the “Optimistic” scenario (0.36).  In other words, the greater the variability in population outcome, the greater</w:t>
      </w:r>
      <w:r w:rsidRPr="00A94C93">
        <w:rPr>
          <w:rFonts w:ascii="Times New Roman" w:eastAsia="Times New Roman" w:hAnsi="Times New Roman" w:cs="Times New Roman"/>
          <w:i/>
          <w:sz w:val="24"/>
          <w:szCs w:val="24"/>
        </w:rPr>
        <w:t xml:space="preserve"> C</w:t>
      </w:r>
      <w:r w:rsidRPr="00A94C93">
        <w:rPr>
          <w:rFonts w:ascii="Times New Roman" w:eastAsia="Times New Roman" w:hAnsi="Times New Roman" w:cs="Times New Roman"/>
          <w:sz w:val="24"/>
          <w:szCs w:val="24"/>
        </w:rPr>
        <w:t xml:space="preserve"> must be to result in a long-term effect of the mortality event that can be discriminated against the backdrop of environmental variability.  The relative similarity of </w:t>
      </w:r>
      <w:r w:rsidRPr="00A94C93">
        <w:rPr>
          <w:rFonts w:ascii="Times New Roman" w:eastAsia="Times New Roman" w:hAnsi="Times New Roman" w:cs="Times New Roman"/>
          <w:i/>
          <w:sz w:val="24"/>
          <w:szCs w:val="24"/>
        </w:rPr>
        <w:t xml:space="preserve">C </w:t>
      </w:r>
      <w:r w:rsidRPr="00A94C93">
        <w:rPr>
          <w:rFonts w:ascii="Times New Roman" w:eastAsia="Times New Roman" w:hAnsi="Times New Roman" w:cs="Times New Roman"/>
          <w:sz w:val="24"/>
          <w:szCs w:val="24"/>
        </w:rPr>
        <w:t>values between the “Realistic” and “Pessimistic” scenarios (1700 vs 1900) is notable; the two mortality thresholds were not statistically distinguishable.  This results suggest</w:t>
      </w:r>
      <w:r w:rsidR="00A12533">
        <w:rPr>
          <w:rFonts w:ascii="Times New Roman" w:eastAsia="Times New Roman" w:hAnsi="Times New Roman" w:cs="Times New Roman"/>
          <w:sz w:val="24"/>
          <w:szCs w:val="24"/>
        </w:rPr>
        <w:t xml:space="preserve">s that it is occurrence of near breeding </w:t>
      </w:r>
      <w:r w:rsidRPr="00A94C93">
        <w:rPr>
          <w:rFonts w:ascii="Times New Roman" w:eastAsia="Times New Roman" w:hAnsi="Times New Roman" w:cs="Times New Roman"/>
          <w:sz w:val="24"/>
          <w:szCs w:val="24"/>
        </w:rPr>
        <w:t xml:space="preserve">failure events, or absence of such </w:t>
      </w:r>
      <w:proofErr w:type="gramStart"/>
      <w:r w:rsidRPr="00A94C93">
        <w:rPr>
          <w:rFonts w:ascii="Times New Roman" w:eastAsia="Times New Roman" w:hAnsi="Times New Roman" w:cs="Times New Roman"/>
          <w:sz w:val="24"/>
          <w:szCs w:val="24"/>
        </w:rPr>
        <w:t>events, that is mo</w:t>
      </w:r>
      <w:r w:rsidR="00330D26">
        <w:rPr>
          <w:rFonts w:ascii="Times New Roman" w:eastAsia="Times New Roman" w:hAnsi="Times New Roman" w:cs="Times New Roman"/>
          <w:sz w:val="24"/>
          <w:szCs w:val="24"/>
        </w:rPr>
        <w:t xml:space="preserve">st important to </w:t>
      </w:r>
      <w:r w:rsidR="008E270B">
        <w:rPr>
          <w:rFonts w:ascii="Times New Roman" w:eastAsia="Times New Roman" w:hAnsi="Times New Roman" w:cs="Times New Roman"/>
          <w:sz w:val="24"/>
          <w:szCs w:val="24"/>
        </w:rPr>
        <w:t xml:space="preserve">future </w:t>
      </w:r>
      <w:r w:rsidR="00330D26">
        <w:rPr>
          <w:rFonts w:ascii="Times New Roman" w:eastAsia="Times New Roman" w:hAnsi="Times New Roman" w:cs="Times New Roman"/>
          <w:sz w:val="24"/>
          <w:szCs w:val="24"/>
        </w:rPr>
        <w:t xml:space="preserve">population numbers in </w:t>
      </w:r>
      <w:r w:rsidRPr="00A94C93">
        <w:rPr>
          <w:rFonts w:ascii="Times New Roman" w:eastAsia="Times New Roman" w:hAnsi="Times New Roman" w:cs="Times New Roman"/>
          <w:sz w:val="24"/>
          <w:szCs w:val="24"/>
        </w:rPr>
        <w:t>20 years,</w:t>
      </w:r>
      <w:proofErr w:type="gramEnd"/>
      <w:r w:rsidRPr="00A94C93">
        <w:rPr>
          <w:rFonts w:ascii="Times New Roman" w:eastAsia="Times New Roman" w:hAnsi="Times New Roman" w:cs="Times New Roman"/>
          <w:sz w:val="24"/>
          <w:szCs w:val="24"/>
        </w:rPr>
        <w:t xml:space="preserve"> rather than the precise </w:t>
      </w:r>
      <w:r w:rsidR="00A12533">
        <w:rPr>
          <w:rFonts w:ascii="Times New Roman" w:eastAsia="Times New Roman" w:hAnsi="Times New Roman" w:cs="Times New Roman"/>
          <w:sz w:val="24"/>
          <w:szCs w:val="24"/>
        </w:rPr>
        <w:t xml:space="preserve">frequency of near breeding </w:t>
      </w:r>
      <w:r w:rsidRPr="00A94C93">
        <w:rPr>
          <w:rFonts w:ascii="Times New Roman" w:eastAsia="Times New Roman" w:hAnsi="Times New Roman" w:cs="Times New Roman"/>
          <w:sz w:val="24"/>
          <w:szCs w:val="24"/>
        </w:rPr>
        <w:t xml:space="preserve">failure events.   </w:t>
      </w:r>
    </w:p>
    <w:p w:rsidR="00C173BA" w:rsidRPr="00A94C93" w:rsidRDefault="00C173BA" w:rsidP="00A94C93">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1</w:t>
      </w:r>
      <w:r w:rsidRPr="00C173BA">
        <w:rPr>
          <w:rFonts w:ascii="Times New Roman" w:eastAsia="Times New Roman" w:hAnsi="Times New Roman" w:cs="Times New Roman"/>
          <w:b/>
          <w:sz w:val="24"/>
          <w:szCs w:val="24"/>
        </w:rPr>
        <w:t xml:space="preserve">.  </w:t>
      </w:r>
      <w:r w:rsidRPr="00C173BA">
        <w:rPr>
          <w:rFonts w:ascii="Times New Roman" w:eastAsia="Times New Roman" w:hAnsi="Times New Roman" w:cs="Times New Roman"/>
          <w:sz w:val="24"/>
          <w:szCs w:val="24"/>
        </w:rPr>
        <w:t>Overview of model development and applicati</w:t>
      </w:r>
      <w:bookmarkStart w:id="0" w:name="_GoBack"/>
      <w:bookmarkEnd w:id="0"/>
      <w:r w:rsidRPr="00C173BA">
        <w:rPr>
          <w:rFonts w:ascii="Times New Roman" w:eastAsia="Times New Roman" w:hAnsi="Times New Roman" w:cs="Times New Roman"/>
          <w:sz w:val="24"/>
          <w:szCs w:val="24"/>
        </w:rPr>
        <w:t xml:space="preserve">on.  Two sets of input parameters were used: those for age-specific values needed for the Leslie matrix (upper left) and those for determining annual variation in demographic parameters to capture stochasticity (upper right).  The population model was used to consider three environmental scenarios (“Optimistic”, “Realistic”, and “Pessimistic”), which differed with respect to frequency of “bad years” for gull reproduction.  These same scenarios were also used to compare results with and without the additional mortality event, i.e., death of </w:t>
      </w:r>
      <w:r w:rsidRPr="00C173BA">
        <w:rPr>
          <w:rFonts w:ascii="Times New Roman" w:eastAsia="Times New Roman" w:hAnsi="Times New Roman" w:cs="Times New Roman"/>
          <w:i/>
          <w:sz w:val="24"/>
          <w:szCs w:val="24"/>
        </w:rPr>
        <w:t>C</w:t>
      </w:r>
      <w:r w:rsidRPr="00C173BA">
        <w:rPr>
          <w:rFonts w:ascii="Times New Roman" w:eastAsia="Times New Roman" w:hAnsi="Times New Roman" w:cs="Times New Roman"/>
          <w:sz w:val="24"/>
          <w:szCs w:val="24"/>
        </w:rPr>
        <w:t xml:space="preserve"> gulls in year 0. The magnitude of </w:t>
      </w:r>
      <w:r w:rsidRPr="00C173BA">
        <w:rPr>
          <w:rFonts w:ascii="Times New Roman" w:eastAsia="Times New Roman" w:hAnsi="Times New Roman" w:cs="Times New Roman"/>
          <w:i/>
          <w:sz w:val="24"/>
          <w:szCs w:val="24"/>
        </w:rPr>
        <w:t>C</w:t>
      </w:r>
      <w:r w:rsidRPr="00C173BA">
        <w:rPr>
          <w:rFonts w:ascii="Times New Roman" w:eastAsia="Times New Roman" w:hAnsi="Times New Roman" w:cs="Times New Roman"/>
          <w:sz w:val="24"/>
          <w:szCs w:val="24"/>
        </w:rPr>
        <w:t xml:space="preserve"> was determined for each environmental scenario separately</w:t>
      </w:r>
      <w:r w:rsidR="00861DAC">
        <w:rPr>
          <w:rFonts w:ascii="Times New Roman" w:eastAsia="Times New Roman" w:hAnsi="Times New Roman" w:cs="Times New Roman"/>
          <w:sz w:val="24"/>
          <w:szCs w:val="24"/>
        </w:rPr>
        <w:t>.</w:t>
      </w:r>
    </w:p>
    <w:p w:rsidR="004B68D5" w:rsidRDefault="00C173BA">
      <w:r w:rsidRPr="00C173BA">
        <w:rPr>
          <w:rFonts w:ascii="Times New Roman" w:eastAsia="Times New Roman" w:hAnsi="Times New Roman" w:cs="Times New Roman"/>
          <w:noProof/>
          <w:sz w:val="24"/>
          <w:szCs w:val="24"/>
        </w:rPr>
        <w:lastRenderedPageBreak/>
        <w:drawing>
          <wp:inline distT="0" distB="0" distL="0" distR="0" wp14:anchorId="300EB6A5" wp14:editId="3F819409">
            <wp:extent cx="5943600" cy="6483298"/>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sectPr w:rsidR="004B68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C93"/>
    <w:rsid w:val="000C39CD"/>
    <w:rsid w:val="00330D26"/>
    <w:rsid w:val="005A30B4"/>
    <w:rsid w:val="0062247E"/>
    <w:rsid w:val="006D0740"/>
    <w:rsid w:val="00861DAC"/>
    <w:rsid w:val="008E270B"/>
    <w:rsid w:val="00944D46"/>
    <w:rsid w:val="00A12533"/>
    <w:rsid w:val="00A94C93"/>
    <w:rsid w:val="00AD1280"/>
    <w:rsid w:val="00C173BA"/>
    <w:rsid w:val="00D90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FBC5B-6940-4D06-A105-1AB24EED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diagramColors" Target="diagrams/colors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customXml" Target="../customXml/item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DFF14F-BFDB-428A-92E5-341881F939E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774DF04D-EEF7-4E9F-9EE9-5E08F166C963}">
      <dgm:prSet phldrT="[Text]" custT="1"/>
      <dgm:spPr>
        <a:xfrm>
          <a:off x="24290" y="1173"/>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Develop Leslie Matrix:</a:t>
          </a:r>
        </a:p>
        <a:p>
          <a:r>
            <a:rPr lang="en-US" sz="1400">
              <a:solidFill>
                <a:sysClr val="window" lastClr="FFFFFF"/>
              </a:solidFill>
              <a:latin typeface="Calibri"/>
              <a:ea typeface="+mn-ea"/>
              <a:cs typeface="+mn-cs"/>
            </a:rPr>
            <a:t>Mean Age Specific Demographic Parameters</a:t>
          </a:r>
        </a:p>
        <a:p>
          <a:r>
            <a:rPr lang="en-US" sz="1400">
              <a:solidFill>
                <a:sysClr val="window" lastClr="FFFFFF"/>
              </a:solidFill>
              <a:latin typeface="Calibri"/>
              <a:ea typeface="+mn-ea"/>
              <a:cs typeface="+mn-cs"/>
            </a:rPr>
            <a:t>1986-2011</a:t>
          </a:r>
        </a:p>
      </dgm:t>
    </dgm:pt>
    <dgm:pt modelId="{7FC8D888-F5A8-4156-975A-485AC2D31402}" type="parTrans" cxnId="{19AE6B8D-E748-41F8-BF83-5DD403E76869}">
      <dgm:prSet/>
      <dgm:spPr/>
      <dgm:t>
        <a:bodyPr/>
        <a:lstStyle/>
        <a:p>
          <a:endParaRPr lang="en-US"/>
        </a:p>
      </dgm:t>
    </dgm:pt>
    <dgm:pt modelId="{80F1D92C-9B30-42D8-A167-BA21CAEC44F3}" type="sibTrans" cxnId="{19AE6B8D-E748-41F8-BF83-5DD403E76869}">
      <dgm:prSet/>
      <dgm:spPr>
        <a:xfrm>
          <a:off x="2969596" y="477620"/>
          <a:ext cx="573901"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1DE35159-0ACE-46DD-BAFE-F95EABCF8B3D}">
      <dgm:prSet phldrT="[Text]" custT="1"/>
      <dgm:spPr>
        <a:xfrm>
          <a:off x="3814206" y="1173"/>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Develop Leslie Matrix:</a:t>
          </a:r>
        </a:p>
        <a:p>
          <a:r>
            <a:rPr lang="en-US" sz="1400">
              <a:solidFill>
                <a:sysClr val="window" lastClr="FFFFFF"/>
              </a:solidFill>
              <a:latin typeface="Calibri"/>
              <a:ea typeface="+mn-ea"/>
              <a:cs typeface="+mn-cs"/>
            </a:rPr>
            <a:t>Annual variation / stochasticity in</a:t>
          </a:r>
        </a:p>
        <a:p>
          <a:r>
            <a:rPr lang="en-US" sz="1400">
              <a:solidFill>
                <a:sysClr val="window" lastClr="FFFFFF"/>
              </a:solidFill>
              <a:latin typeface="Calibri"/>
              <a:ea typeface="+mn-ea"/>
              <a:cs typeface="+mn-cs"/>
            </a:rPr>
            <a:t> Demographic  Parameters</a:t>
          </a:r>
        </a:p>
        <a:p>
          <a:r>
            <a:rPr lang="en-US" sz="1400">
              <a:solidFill>
                <a:sysClr val="window" lastClr="FFFFFF"/>
              </a:solidFill>
              <a:latin typeface="Calibri"/>
              <a:ea typeface="+mn-ea"/>
              <a:cs typeface="+mn-cs"/>
            </a:rPr>
            <a:t>1999-2008</a:t>
          </a:r>
        </a:p>
      </dgm:t>
    </dgm:pt>
    <dgm:pt modelId="{0359F250-BC65-4BC6-BDE5-16C203ADF1FE}" type="parTrans" cxnId="{2BFA8A93-9C92-4875-A268-E648A67F4B2C}">
      <dgm:prSet/>
      <dgm:spPr/>
      <dgm:t>
        <a:bodyPr/>
        <a:lstStyle/>
        <a:p>
          <a:endParaRPr lang="en-US"/>
        </a:p>
      </dgm:t>
    </dgm:pt>
    <dgm:pt modelId="{071859E3-BA59-4242-BADD-583E00108F25}" type="sibTrans" cxnId="{2BFA8A93-9C92-4875-A268-E648A67F4B2C}">
      <dgm:prSet/>
      <dgm:spPr>
        <a:xfrm rot="5400000">
          <a:off x="4880797" y="1814919"/>
          <a:ext cx="573901"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0C03CA15-325A-42B2-90FC-E2AE514855EA}">
      <dgm:prSet phldrT="[Text]" custT="1"/>
      <dgm:spPr>
        <a:xfrm>
          <a:off x="3814206" y="2708256"/>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Develop model:</a:t>
          </a:r>
        </a:p>
        <a:p>
          <a:r>
            <a:rPr lang="en-US" sz="1400">
              <a:solidFill>
                <a:sysClr val="window" lastClr="FFFFFF"/>
              </a:solidFill>
              <a:latin typeface="Calibri"/>
              <a:ea typeface="+mn-ea"/>
              <a:cs typeface="+mn-cs"/>
            </a:rPr>
            <a:t>Matrix population modelling using 2011 population size</a:t>
          </a:r>
        </a:p>
      </dgm:t>
    </dgm:pt>
    <dgm:pt modelId="{0DE33D19-0553-4749-B043-3116244ABA16}" type="parTrans" cxnId="{5BAD2F26-B180-4BB1-8981-EBE6307191AF}">
      <dgm:prSet/>
      <dgm:spPr/>
      <dgm:t>
        <a:bodyPr/>
        <a:lstStyle/>
        <a:p>
          <a:endParaRPr lang="en-US"/>
        </a:p>
      </dgm:t>
    </dgm:pt>
    <dgm:pt modelId="{88AF9F56-FFF9-4229-A750-92153D7C3BE6}" type="sibTrans" cxnId="{5BAD2F26-B180-4BB1-8981-EBE6307191AF}">
      <dgm:prSet/>
      <dgm:spPr>
        <a:xfrm rot="10800000">
          <a:off x="3002081" y="3184703"/>
          <a:ext cx="573901"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2F391114-7E4A-48A8-A298-5AC82BEE3900}">
      <dgm:prSet phldrT="[Text]" custT="1"/>
      <dgm:spPr>
        <a:xfrm>
          <a:off x="24290" y="2708256"/>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Incoporate enviromental variabilty: </a:t>
          </a:r>
        </a:p>
        <a:p>
          <a:r>
            <a:rPr lang="en-US" sz="1400">
              <a:solidFill>
                <a:sysClr val="window" lastClr="FFFFFF"/>
              </a:solidFill>
              <a:latin typeface="Calibri"/>
              <a:ea typeface="+mn-ea"/>
              <a:cs typeface="+mn-cs"/>
            </a:rPr>
            <a:t>Apply 3 environmental conditions scenarios based on incidence of breeding failure</a:t>
          </a:r>
        </a:p>
      </dgm:t>
    </dgm:pt>
    <dgm:pt modelId="{AECC6782-7421-467C-9E60-76954561297E}" type="parTrans" cxnId="{34B87D56-CD77-4483-9105-DE4D8AC136A0}">
      <dgm:prSet/>
      <dgm:spPr/>
      <dgm:t>
        <a:bodyPr/>
        <a:lstStyle/>
        <a:p>
          <a:endParaRPr lang="en-US"/>
        </a:p>
      </dgm:t>
    </dgm:pt>
    <dgm:pt modelId="{05BAE54B-C720-4403-B5AC-921088399D75}" type="sibTrans" cxnId="{34B87D56-CD77-4483-9105-DE4D8AC136A0}">
      <dgm:prSet/>
      <dgm:spPr>
        <a:xfrm rot="5433627">
          <a:off x="1138408" y="4413007"/>
          <a:ext cx="454815" cy="671356"/>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57458E28-0BC9-4280-BD2F-A7EE80972F08}">
      <dgm:prSet phldrT="[Text]" custT="1"/>
      <dgm:spPr>
        <a:xfrm>
          <a:off x="7" y="5190608"/>
          <a:ext cx="2707083" cy="1624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400">
              <a:solidFill>
                <a:sysClr val="window" lastClr="FFFFFF"/>
              </a:solidFill>
              <a:latin typeface="Calibri"/>
              <a:ea typeface="+mn-ea"/>
              <a:cs typeface="+mn-cs"/>
            </a:rPr>
            <a:t>Determine Population growth rate and mortality impacts:</a:t>
          </a:r>
        </a:p>
        <a:p>
          <a:r>
            <a:rPr lang="en-US" sz="1400">
              <a:solidFill>
                <a:sysClr val="window" lastClr="FFFFFF"/>
              </a:solidFill>
              <a:latin typeface="Calibri"/>
              <a:ea typeface="+mn-ea"/>
              <a:cs typeface="+mn-cs"/>
            </a:rPr>
            <a:t>Model 20 year population change for each scenario  with and without additional mortality (</a:t>
          </a:r>
          <a:r>
            <a:rPr lang="en-US" sz="1400" i="1">
              <a:solidFill>
                <a:sysClr val="window" lastClr="FFFFFF"/>
              </a:solidFill>
              <a:latin typeface="Calibri"/>
              <a:ea typeface="+mn-ea"/>
              <a:cs typeface="+mn-cs"/>
            </a:rPr>
            <a:t>C</a:t>
          </a:r>
          <a:r>
            <a:rPr lang="en-US" sz="1400" i="0">
              <a:solidFill>
                <a:sysClr val="window" lastClr="FFFFFF"/>
              </a:solidFill>
              <a:latin typeface="Calibri"/>
              <a:ea typeface="+mn-ea"/>
              <a:cs typeface="+mn-cs"/>
            </a:rPr>
            <a:t>)</a:t>
          </a:r>
          <a:endParaRPr lang="en-US" sz="1400" i="1">
            <a:solidFill>
              <a:sysClr val="window" lastClr="FFFFFF"/>
            </a:solidFill>
            <a:latin typeface="Calibri"/>
            <a:ea typeface="+mn-ea"/>
            <a:cs typeface="+mn-cs"/>
          </a:endParaRPr>
        </a:p>
      </dgm:t>
    </dgm:pt>
    <dgm:pt modelId="{E7C608C4-C28B-478C-88E0-0D0AE9F28CB3}" type="parTrans" cxnId="{450BB161-4FFD-4160-80F9-DF51345AF558}">
      <dgm:prSet/>
      <dgm:spPr/>
      <dgm:t>
        <a:bodyPr/>
        <a:lstStyle/>
        <a:p>
          <a:endParaRPr lang="en-US"/>
        </a:p>
      </dgm:t>
    </dgm:pt>
    <dgm:pt modelId="{07AEAF95-D87B-48D6-93C1-327E12AE81CC}" type="sibTrans" cxnId="{450BB161-4FFD-4160-80F9-DF51345AF558}">
      <dgm:prSet/>
      <dgm:spPr>
        <a:xfrm rot="101244">
          <a:off x="3136066" y="6012164"/>
          <a:ext cx="825513" cy="671356"/>
        </a:xfrm>
        <a:prstGeom prst="rightArrow">
          <a:avLst>
            <a:gd name="adj1" fmla="val 60000"/>
            <a:gd name="adj2" fmla="val 50000"/>
          </a:avLst>
        </a:prstGeom>
        <a:noFill/>
        <a:ln>
          <a:noFill/>
        </a:ln>
        <a:effectLst/>
      </dgm:spPr>
      <dgm:t>
        <a:bodyPr/>
        <a:lstStyle/>
        <a:p>
          <a:endParaRPr lang="en-US">
            <a:solidFill>
              <a:sysClr val="window" lastClr="FFFFFF"/>
            </a:solidFill>
            <a:latin typeface="Calibri"/>
            <a:ea typeface="+mn-ea"/>
            <a:cs typeface="+mn-cs"/>
          </a:endParaRPr>
        </a:p>
      </dgm:t>
    </dgm:pt>
    <dgm:pt modelId="{E6CAAE00-0556-4886-9838-07573F627558}">
      <dgm:prSet phldrT="[Text]"/>
      <dgm:spPr>
        <a:xfrm>
          <a:off x="4263988" y="5257202"/>
          <a:ext cx="2066803" cy="1723426"/>
        </a:xfrm>
        <a:prstGeom prst="roundRect">
          <a:avLst>
            <a:gd name="adj" fmla="val 10000"/>
          </a:avLst>
        </a:prstGeom>
        <a:blipFill rotWithShape="0">
          <a:blip xmlns:r="http://schemas.openxmlformats.org/officeDocument/2006/relationships" r:embed="rId1"/>
          <a:stretch>
            <a:fillRect/>
          </a:stretch>
        </a:blipFill>
        <a:ln w="25400" cap="flat" cmpd="sng" algn="ctr">
          <a:solidFill>
            <a:sysClr val="window" lastClr="FFFFFF">
              <a:hueOff val="0"/>
              <a:satOff val="0"/>
              <a:lumOff val="0"/>
              <a:alphaOff val="0"/>
            </a:sysClr>
          </a:solidFill>
          <a:prstDash val="solid"/>
        </a:ln>
        <a:effectLst/>
      </dgm:spPr>
      <dgm:t>
        <a:bodyPr/>
        <a:lstStyle/>
        <a:p>
          <a:endParaRPr lang="en-US">
            <a:solidFill>
              <a:sysClr val="window" lastClr="FFFFFF"/>
            </a:solidFill>
            <a:latin typeface="Calibri"/>
            <a:ea typeface="+mn-ea"/>
            <a:cs typeface="+mn-cs"/>
          </a:endParaRPr>
        </a:p>
      </dgm:t>
    </dgm:pt>
    <dgm:pt modelId="{D34DC1FF-645C-4C02-8D1B-80840390C0C5}" type="parTrans" cxnId="{8DD65025-43F5-46F5-A716-23841081075F}">
      <dgm:prSet/>
      <dgm:spPr/>
      <dgm:t>
        <a:bodyPr/>
        <a:lstStyle/>
        <a:p>
          <a:endParaRPr lang="en-US"/>
        </a:p>
      </dgm:t>
    </dgm:pt>
    <dgm:pt modelId="{8750B66F-7CED-4129-AF0A-11A15A80592E}" type="sibTrans" cxnId="{8DD65025-43F5-46F5-A716-23841081075F}">
      <dgm:prSet/>
      <dgm:spPr/>
      <dgm:t>
        <a:bodyPr/>
        <a:lstStyle/>
        <a:p>
          <a:endParaRPr lang="en-US"/>
        </a:p>
      </dgm:t>
    </dgm:pt>
    <dgm:pt modelId="{EC9CF8E5-631D-40ED-AA67-D0E147F010FB}" type="pres">
      <dgm:prSet presAssocID="{0FDFF14F-BFDB-428A-92E5-341881F939ED}" presName="diagram" presStyleCnt="0">
        <dgm:presLayoutVars>
          <dgm:dir/>
          <dgm:resizeHandles val="exact"/>
        </dgm:presLayoutVars>
      </dgm:prSet>
      <dgm:spPr/>
      <dgm:t>
        <a:bodyPr/>
        <a:lstStyle/>
        <a:p>
          <a:endParaRPr lang="en-US"/>
        </a:p>
      </dgm:t>
    </dgm:pt>
    <dgm:pt modelId="{0D6A924D-5B0B-4902-B3AA-2C464FDBDE1C}" type="pres">
      <dgm:prSet presAssocID="{774DF04D-EEF7-4E9F-9EE9-5E08F166C963}" presName="node" presStyleLbl="node1" presStyleIdx="0" presStyleCnt="6">
        <dgm:presLayoutVars>
          <dgm:bulletEnabled val="1"/>
        </dgm:presLayoutVars>
      </dgm:prSet>
      <dgm:spPr/>
      <dgm:t>
        <a:bodyPr/>
        <a:lstStyle/>
        <a:p>
          <a:endParaRPr lang="en-US"/>
        </a:p>
      </dgm:t>
    </dgm:pt>
    <dgm:pt modelId="{D40CE68F-88B3-469B-921E-839224870FE8}" type="pres">
      <dgm:prSet presAssocID="{80F1D92C-9B30-42D8-A167-BA21CAEC44F3}" presName="sibTrans" presStyleLbl="sibTrans2D1" presStyleIdx="0" presStyleCnt="5"/>
      <dgm:spPr/>
      <dgm:t>
        <a:bodyPr/>
        <a:lstStyle/>
        <a:p>
          <a:endParaRPr lang="en-US"/>
        </a:p>
      </dgm:t>
    </dgm:pt>
    <dgm:pt modelId="{5A8AF5D2-BF18-482F-BBAB-65393CA7A1FE}" type="pres">
      <dgm:prSet presAssocID="{80F1D92C-9B30-42D8-A167-BA21CAEC44F3}" presName="connectorText" presStyleLbl="sibTrans2D1" presStyleIdx="0" presStyleCnt="5"/>
      <dgm:spPr/>
      <dgm:t>
        <a:bodyPr/>
        <a:lstStyle/>
        <a:p>
          <a:endParaRPr lang="en-US"/>
        </a:p>
      </dgm:t>
    </dgm:pt>
    <dgm:pt modelId="{08D80F76-729F-4015-9E61-57385D6A7B39}" type="pres">
      <dgm:prSet presAssocID="{1DE35159-0ACE-46DD-BAFE-F95EABCF8B3D}" presName="node" presStyleLbl="node1" presStyleIdx="1" presStyleCnt="6">
        <dgm:presLayoutVars>
          <dgm:bulletEnabled val="1"/>
        </dgm:presLayoutVars>
      </dgm:prSet>
      <dgm:spPr/>
      <dgm:t>
        <a:bodyPr/>
        <a:lstStyle/>
        <a:p>
          <a:endParaRPr lang="en-US"/>
        </a:p>
      </dgm:t>
    </dgm:pt>
    <dgm:pt modelId="{4590121C-336C-48A3-B82E-C593CF06AC9A}" type="pres">
      <dgm:prSet presAssocID="{071859E3-BA59-4242-BADD-583E00108F25}" presName="sibTrans" presStyleLbl="sibTrans2D1" presStyleIdx="1" presStyleCnt="5"/>
      <dgm:spPr/>
      <dgm:t>
        <a:bodyPr/>
        <a:lstStyle/>
        <a:p>
          <a:endParaRPr lang="en-US"/>
        </a:p>
      </dgm:t>
    </dgm:pt>
    <dgm:pt modelId="{FA1FDA99-211B-4DCC-80CB-9812ACDD6C96}" type="pres">
      <dgm:prSet presAssocID="{071859E3-BA59-4242-BADD-583E00108F25}" presName="connectorText" presStyleLbl="sibTrans2D1" presStyleIdx="1" presStyleCnt="5"/>
      <dgm:spPr/>
      <dgm:t>
        <a:bodyPr/>
        <a:lstStyle/>
        <a:p>
          <a:endParaRPr lang="en-US"/>
        </a:p>
      </dgm:t>
    </dgm:pt>
    <dgm:pt modelId="{26F29F4E-3124-4437-BC46-6C3253EF9A3F}" type="pres">
      <dgm:prSet presAssocID="{0C03CA15-325A-42B2-90FC-E2AE514855EA}" presName="node" presStyleLbl="node1" presStyleIdx="2" presStyleCnt="6">
        <dgm:presLayoutVars>
          <dgm:bulletEnabled val="1"/>
        </dgm:presLayoutVars>
      </dgm:prSet>
      <dgm:spPr/>
      <dgm:t>
        <a:bodyPr/>
        <a:lstStyle/>
        <a:p>
          <a:endParaRPr lang="en-US"/>
        </a:p>
      </dgm:t>
    </dgm:pt>
    <dgm:pt modelId="{6892F830-3E2C-4CEC-BC4A-05573EE9237C}" type="pres">
      <dgm:prSet presAssocID="{88AF9F56-FFF9-4229-A750-92153D7C3BE6}" presName="sibTrans" presStyleLbl="sibTrans2D1" presStyleIdx="2" presStyleCnt="5"/>
      <dgm:spPr/>
      <dgm:t>
        <a:bodyPr/>
        <a:lstStyle/>
        <a:p>
          <a:endParaRPr lang="en-US"/>
        </a:p>
      </dgm:t>
    </dgm:pt>
    <dgm:pt modelId="{89A70646-913C-4F63-BD09-B57231ECF5B1}" type="pres">
      <dgm:prSet presAssocID="{88AF9F56-FFF9-4229-A750-92153D7C3BE6}" presName="connectorText" presStyleLbl="sibTrans2D1" presStyleIdx="2" presStyleCnt="5"/>
      <dgm:spPr/>
      <dgm:t>
        <a:bodyPr/>
        <a:lstStyle/>
        <a:p>
          <a:endParaRPr lang="en-US"/>
        </a:p>
      </dgm:t>
    </dgm:pt>
    <dgm:pt modelId="{467B672A-8600-4075-9695-B9E65F296BDC}" type="pres">
      <dgm:prSet presAssocID="{2F391114-7E4A-48A8-A298-5AC82BEE3900}" presName="node" presStyleLbl="node1" presStyleIdx="3" presStyleCnt="6">
        <dgm:presLayoutVars>
          <dgm:bulletEnabled val="1"/>
        </dgm:presLayoutVars>
      </dgm:prSet>
      <dgm:spPr/>
      <dgm:t>
        <a:bodyPr/>
        <a:lstStyle/>
        <a:p>
          <a:endParaRPr lang="en-US"/>
        </a:p>
      </dgm:t>
    </dgm:pt>
    <dgm:pt modelId="{96229DA7-1003-4B87-8D79-23FA07A43FAC}" type="pres">
      <dgm:prSet presAssocID="{05BAE54B-C720-4403-B5AC-921088399D75}" presName="sibTrans" presStyleLbl="sibTrans2D1" presStyleIdx="3" presStyleCnt="5"/>
      <dgm:spPr/>
      <dgm:t>
        <a:bodyPr/>
        <a:lstStyle/>
        <a:p>
          <a:endParaRPr lang="en-US"/>
        </a:p>
      </dgm:t>
    </dgm:pt>
    <dgm:pt modelId="{386448FB-541E-4347-9723-B0ED425D0855}" type="pres">
      <dgm:prSet presAssocID="{05BAE54B-C720-4403-B5AC-921088399D75}" presName="connectorText" presStyleLbl="sibTrans2D1" presStyleIdx="3" presStyleCnt="5"/>
      <dgm:spPr/>
      <dgm:t>
        <a:bodyPr/>
        <a:lstStyle/>
        <a:p>
          <a:endParaRPr lang="en-US"/>
        </a:p>
      </dgm:t>
    </dgm:pt>
    <dgm:pt modelId="{F9E7F555-89E0-4900-97BF-82ABF8A70B8B}" type="pres">
      <dgm:prSet presAssocID="{57458E28-0BC9-4280-BD2F-A7EE80972F08}" presName="node" presStyleLbl="node1" presStyleIdx="4" presStyleCnt="6" custLinFactNeighborX="-897" custLinFactNeighborY="-16889">
        <dgm:presLayoutVars>
          <dgm:bulletEnabled val="1"/>
        </dgm:presLayoutVars>
      </dgm:prSet>
      <dgm:spPr/>
      <dgm:t>
        <a:bodyPr/>
        <a:lstStyle/>
        <a:p>
          <a:endParaRPr lang="en-US"/>
        </a:p>
      </dgm:t>
    </dgm:pt>
    <dgm:pt modelId="{846D101B-5055-41C1-B4D6-793D138C7EFC}" type="pres">
      <dgm:prSet presAssocID="{07AEAF95-D87B-48D6-93C1-327E12AE81CC}" presName="sibTrans" presStyleLbl="sibTrans2D1" presStyleIdx="4" presStyleCnt="5" custLinFactNeighborX="10495" custLinFactNeighborY="42152"/>
      <dgm:spPr/>
      <dgm:t>
        <a:bodyPr/>
        <a:lstStyle/>
        <a:p>
          <a:endParaRPr lang="en-US"/>
        </a:p>
      </dgm:t>
    </dgm:pt>
    <dgm:pt modelId="{23D4DBA6-6C2B-471A-A30E-D1ECAB4BC5D0}" type="pres">
      <dgm:prSet presAssocID="{07AEAF95-D87B-48D6-93C1-327E12AE81CC}" presName="connectorText" presStyleLbl="sibTrans2D1" presStyleIdx="4" presStyleCnt="5"/>
      <dgm:spPr/>
      <dgm:t>
        <a:bodyPr/>
        <a:lstStyle/>
        <a:p>
          <a:endParaRPr lang="en-US"/>
        </a:p>
      </dgm:t>
    </dgm:pt>
    <dgm:pt modelId="{E7DFDEEF-769E-4C92-9470-EE26067C6400}" type="pres">
      <dgm:prSet presAssocID="{E6CAAE00-0556-4886-9838-07573F627558}" presName="node" presStyleLbl="node1" presStyleIdx="5" presStyleCnt="6" custScaleX="76348" custScaleY="106106" custLinFactNeighborX="16615" custLinFactNeighborY="-9736">
        <dgm:presLayoutVars>
          <dgm:bulletEnabled val="1"/>
        </dgm:presLayoutVars>
      </dgm:prSet>
      <dgm:spPr/>
      <dgm:t>
        <a:bodyPr/>
        <a:lstStyle/>
        <a:p>
          <a:endParaRPr lang="en-US"/>
        </a:p>
      </dgm:t>
    </dgm:pt>
  </dgm:ptLst>
  <dgm:cxnLst>
    <dgm:cxn modelId="{3D1DA4E4-DDDA-4BC8-A4A2-B92DEA67F6F0}" type="presOf" srcId="{80F1D92C-9B30-42D8-A167-BA21CAEC44F3}" destId="{5A8AF5D2-BF18-482F-BBAB-65393CA7A1FE}" srcOrd="1" destOrd="0" presId="urn:microsoft.com/office/officeart/2005/8/layout/process5"/>
    <dgm:cxn modelId="{FC560230-FFE0-4DD0-801A-76FCBAE95260}" type="presOf" srcId="{774DF04D-EEF7-4E9F-9EE9-5E08F166C963}" destId="{0D6A924D-5B0B-4902-B3AA-2C464FDBDE1C}" srcOrd="0" destOrd="0" presId="urn:microsoft.com/office/officeart/2005/8/layout/process5"/>
    <dgm:cxn modelId="{90C7026D-BE3A-4772-B402-B95B872C0BDA}" type="presOf" srcId="{0C03CA15-325A-42B2-90FC-E2AE514855EA}" destId="{26F29F4E-3124-4437-BC46-6C3253EF9A3F}" srcOrd="0" destOrd="0" presId="urn:microsoft.com/office/officeart/2005/8/layout/process5"/>
    <dgm:cxn modelId="{2E33195C-6053-4E2E-962C-23729DE237DB}" type="presOf" srcId="{88AF9F56-FFF9-4229-A750-92153D7C3BE6}" destId="{6892F830-3E2C-4CEC-BC4A-05573EE9237C}" srcOrd="0" destOrd="0" presId="urn:microsoft.com/office/officeart/2005/8/layout/process5"/>
    <dgm:cxn modelId="{9BE7179A-8E89-4EEE-BF2D-224BC196566A}" type="presOf" srcId="{0FDFF14F-BFDB-428A-92E5-341881F939ED}" destId="{EC9CF8E5-631D-40ED-AA67-D0E147F010FB}" srcOrd="0" destOrd="0" presId="urn:microsoft.com/office/officeart/2005/8/layout/process5"/>
    <dgm:cxn modelId="{450BB161-4FFD-4160-80F9-DF51345AF558}" srcId="{0FDFF14F-BFDB-428A-92E5-341881F939ED}" destId="{57458E28-0BC9-4280-BD2F-A7EE80972F08}" srcOrd="4" destOrd="0" parTransId="{E7C608C4-C28B-478C-88E0-0D0AE9F28CB3}" sibTransId="{07AEAF95-D87B-48D6-93C1-327E12AE81CC}"/>
    <dgm:cxn modelId="{2BFA8A93-9C92-4875-A268-E648A67F4B2C}" srcId="{0FDFF14F-BFDB-428A-92E5-341881F939ED}" destId="{1DE35159-0ACE-46DD-BAFE-F95EABCF8B3D}" srcOrd="1" destOrd="0" parTransId="{0359F250-BC65-4BC6-BDE5-16C203ADF1FE}" sibTransId="{071859E3-BA59-4242-BADD-583E00108F25}"/>
    <dgm:cxn modelId="{3B4A3C87-5758-400F-8FAF-931197468D01}" type="presOf" srcId="{88AF9F56-FFF9-4229-A750-92153D7C3BE6}" destId="{89A70646-913C-4F63-BD09-B57231ECF5B1}" srcOrd="1" destOrd="0" presId="urn:microsoft.com/office/officeart/2005/8/layout/process5"/>
    <dgm:cxn modelId="{E1F5662F-0571-4243-8EAD-5C664E8C2DF1}" type="presOf" srcId="{1DE35159-0ACE-46DD-BAFE-F95EABCF8B3D}" destId="{08D80F76-729F-4015-9E61-57385D6A7B39}" srcOrd="0" destOrd="0" presId="urn:microsoft.com/office/officeart/2005/8/layout/process5"/>
    <dgm:cxn modelId="{61881574-7BB9-4906-8EF3-97B78E670E71}" type="presOf" srcId="{07AEAF95-D87B-48D6-93C1-327E12AE81CC}" destId="{23D4DBA6-6C2B-471A-A30E-D1ECAB4BC5D0}" srcOrd="1" destOrd="0" presId="urn:microsoft.com/office/officeart/2005/8/layout/process5"/>
    <dgm:cxn modelId="{4015217A-61DB-460F-90DC-0EC22671EF3E}" type="presOf" srcId="{071859E3-BA59-4242-BADD-583E00108F25}" destId="{4590121C-336C-48A3-B82E-C593CF06AC9A}" srcOrd="0" destOrd="0" presId="urn:microsoft.com/office/officeart/2005/8/layout/process5"/>
    <dgm:cxn modelId="{29032492-4D84-459E-8E29-8351A6DE7055}" type="presOf" srcId="{2F391114-7E4A-48A8-A298-5AC82BEE3900}" destId="{467B672A-8600-4075-9695-B9E65F296BDC}" srcOrd="0" destOrd="0" presId="urn:microsoft.com/office/officeart/2005/8/layout/process5"/>
    <dgm:cxn modelId="{EC87A9A4-5AFF-4CA7-8D1A-2367193E9FFE}" type="presOf" srcId="{07AEAF95-D87B-48D6-93C1-327E12AE81CC}" destId="{846D101B-5055-41C1-B4D6-793D138C7EFC}" srcOrd="0" destOrd="0" presId="urn:microsoft.com/office/officeart/2005/8/layout/process5"/>
    <dgm:cxn modelId="{34B87D56-CD77-4483-9105-DE4D8AC136A0}" srcId="{0FDFF14F-BFDB-428A-92E5-341881F939ED}" destId="{2F391114-7E4A-48A8-A298-5AC82BEE3900}" srcOrd="3" destOrd="0" parTransId="{AECC6782-7421-467C-9E60-76954561297E}" sibTransId="{05BAE54B-C720-4403-B5AC-921088399D75}"/>
    <dgm:cxn modelId="{B2E78642-165E-4B85-BD04-F1C0991D472A}" type="presOf" srcId="{57458E28-0BC9-4280-BD2F-A7EE80972F08}" destId="{F9E7F555-89E0-4900-97BF-82ABF8A70B8B}" srcOrd="0" destOrd="0" presId="urn:microsoft.com/office/officeart/2005/8/layout/process5"/>
    <dgm:cxn modelId="{F2DDC996-F1B9-4E16-AC2E-BCF7AC95ADF8}" type="presOf" srcId="{E6CAAE00-0556-4886-9838-07573F627558}" destId="{E7DFDEEF-769E-4C92-9470-EE26067C6400}" srcOrd="0" destOrd="0" presId="urn:microsoft.com/office/officeart/2005/8/layout/process5"/>
    <dgm:cxn modelId="{D8ABEED9-704D-4A91-AD34-7D3AB8584B9C}" type="presOf" srcId="{071859E3-BA59-4242-BADD-583E00108F25}" destId="{FA1FDA99-211B-4DCC-80CB-9812ACDD6C96}" srcOrd="1" destOrd="0" presId="urn:microsoft.com/office/officeart/2005/8/layout/process5"/>
    <dgm:cxn modelId="{38D83596-BFFD-40A3-BE9E-8C0857663DC9}" type="presOf" srcId="{80F1D92C-9B30-42D8-A167-BA21CAEC44F3}" destId="{D40CE68F-88B3-469B-921E-839224870FE8}" srcOrd="0" destOrd="0" presId="urn:microsoft.com/office/officeart/2005/8/layout/process5"/>
    <dgm:cxn modelId="{7CB7A393-DCDE-48A0-BF2E-3330A88EE128}" type="presOf" srcId="{05BAE54B-C720-4403-B5AC-921088399D75}" destId="{386448FB-541E-4347-9723-B0ED425D0855}" srcOrd="1" destOrd="0" presId="urn:microsoft.com/office/officeart/2005/8/layout/process5"/>
    <dgm:cxn modelId="{8DD65025-43F5-46F5-A716-23841081075F}" srcId="{0FDFF14F-BFDB-428A-92E5-341881F939ED}" destId="{E6CAAE00-0556-4886-9838-07573F627558}" srcOrd="5" destOrd="0" parTransId="{D34DC1FF-645C-4C02-8D1B-80840390C0C5}" sibTransId="{8750B66F-7CED-4129-AF0A-11A15A80592E}"/>
    <dgm:cxn modelId="{19AE6B8D-E748-41F8-BF83-5DD403E76869}" srcId="{0FDFF14F-BFDB-428A-92E5-341881F939ED}" destId="{774DF04D-EEF7-4E9F-9EE9-5E08F166C963}" srcOrd="0" destOrd="0" parTransId="{7FC8D888-F5A8-4156-975A-485AC2D31402}" sibTransId="{80F1D92C-9B30-42D8-A167-BA21CAEC44F3}"/>
    <dgm:cxn modelId="{5BAD2F26-B180-4BB1-8981-EBE6307191AF}" srcId="{0FDFF14F-BFDB-428A-92E5-341881F939ED}" destId="{0C03CA15-325A-42B2-90FC-E2AE514855EA}" srcOrd="2" destOrd="0" parTransId="{0DE33D19-0553-4749-B043-3116244ABA16}" sibTransId="{88AF9F56-FFF9-4229-A750-92153D7C3BE6}"/>
    <dgm:cxn modelId="{5A4B2E7C-1997-4F84-808E-078B68C7E30E}" type="presOf" srcId="{05BAE54B-C720-4403-B5AC-921088399D75}" destId="{96229DA7-1003-4B87-8D79-23FA07A43FAC}" srcOrd="0" destOrd="0" presId="urn:microsoft.com/office/officeart/2005/8/layout/process5"/>
    <dgm:cxn modelId="{7D33674A-7BC6-4BC1-AD3E-743C964155F5}" type="presParOf" srcId="{EC9CF8E5-631D-40ED-AA67-D0E147F010FB}" destId="{0D6A924D-5B0B-4902-B3AA-2C464FDBDE1C}" srcOrd="0" destOrd="0" presId="urn:microsoft.com/office/officeart/2005/8/layout/process5"/>
    <dgm:cxn modelId="{496C8ABE-7F86-4A19-BF41-8B4B6AA7DCE4}" type="presParOf" srcId="{EC9CF8E5-631D-40ED-AA67-D0E147F010FB}" destId="{D40CE68F-88B3-469B-921E-839224870FE8}" srcOrd="1" destOrd="0" presId="urn:microsoft.com/office/officeart/2005/8/layout/process5"/>
    <dgm:cxn modelId="{7367DCFA-A2F0-4D15-A6CA-00268A2251FF}" type="presParOf" srcId="{D40CE68F-88B3-469B-921E-839224870FE8}" destId="{5A8AF5D2-BF18-482F-BBAB-65393CA7A1FE}" srcOrd="0" destOrd="0" presId="urn:microsoft.com/office/officeart/2005/8/layout/process5"/>
    <dgm:cxn modelId="{45A903F7-F0CA-4F9D-AE94-EAFCC2EB80AA}" type="presParOf" srcId="{EC9CF8E5-631D-40ED-AA67-D0E147F010FB}" destId="{08D80F76-729F-4015-9E61-57385D6A7B39}" srcOrd="2" destOrd="0" presId="urn:microsoft.com/office/officeart/2005/8/layout/process5"/>
    <dgm:cxn modelId="{0BE32393-27C1-4D0E-BDF8-54556EA1BBA3}" type="presParOf" srcId="{EC9CF8E5-631D-40ED-AA67-D0E147F010FB}" destId="{4590121C-336C-48A3-B82E-C593CF06AC9A}" srcOrd="3" destOrd="0" presId="urn:microsoft.com/office/officeart/2005/8/layout/process5"/>
    <dgm:cxn modelId="{7406680C-EACB-4BDD-8784-8ABFAE03C172}" type="presParOf" srcId="{4590121C-336C-48A3-B82E-C593CF06AC9A}" destId="{FA1FDA99-211B-4DCC-80CB-9812ACDD6C96}" srcOrd="0" destOrd="0" presId="urn:microsoft.com/office/officeart/2005/8/layout/process5"/>
    <dgm:cxn modelId="{05723074-4A43-40BE-8653-C59EA0C3DA89}" type="presParOf" srcId="{EC9CF8E5-631D-40ED-AA67-D0E147F010FB}" destId="{26F29F4E-3124-4437-BC46-6C3253EF9A3F}" srcOrd="4" destOrd="0" presId="urn:microsoft.com/office/officeart/2005/8/layout/process5"/>
    <dgm:cxn modelId="{6C4A3095-E195-4D93-BAFC-62F486B31DC8}" type="presParOf" srcId="{EC9CF8E5-631D-40ED-AA67-D0E147F010FB}" destId="{6892F830-3E2C-4CEC-BC4A-05573EE9237C}" srcOrd="5" destOrd="0" presId="urn:microsoft.com/office/officeart/2005/8/layout/process5"/>
    <dgm:cxn modelId="{E2774487-8076-4CC4-948B-441F30DAE4FB}" type="presParOf" srcId="{6892F830-3E2C-4CEC-BC4A-05573EE9237C}" destId="{89A70646-913C-4F63-BD09-B57231ECF5B1}" srcOrd="0" destOrd="0" presId="urn:microsoft.com/office/officeart/2005/8/layout/process5"/>
    <dgm:cxn modelId="{0D6C4D04-4CB0-4F8F-ABF9-CDC136780C5B}" type="presParOf" srcId="{EC9CF8E5-631D-40ED-AA67-D0E147F010FB}" destId="{467B672A-8600-4075-9695-B9E65F296BDC}" srcOrd="6" destOrd="0" presId="urn:microsoft.com/office/officeart/2005/8/layout/process5"/>
    <dgm:cxn modelId="{CDE5AEA7-FF8A-4AA9-A587-D30BE93645A5}" type="presParOf" srcId="{EC9CF8E5-631D-40ED-AA67-D0E147F010FB}" destId="{96229DA7-1003-4B87-8D79-23FA07A43FAC}" srcOrd="7" destOrd="0" presId="urn:microsoft.com/office/officeart/2005/8/layout/process5"/>
    <dgm:cxn modelId="{09351BC9-9614-4C0B-A1EF-4578445C87BA}" type="presParOf" srcId="{96229DA7-1003-4B87-8D79-23FA07A43FAC}" destId="{386448FB-541E-4347-9723-B0ED425D0855}" srcOrd="0" destOrd="0" presId="urn:microsoft.com/office/officeart/2005/8/layout/process5"/>
    <dgm:cxn modelId="{24EE94C0-066A-4E85-AB60-CD6B3689AF57}" type="presParOf" srcId="{EC9CF8E5-631D-40ED-AA67-D0E147F010FB}" destId="{F9E7F555-89E0-4900-97BF-82ABF8A70B8B}" srcOrd="8" destOrd="0" presId="urn:microsoft.com/office/officeart/2005/8/layout/process5"/>
    <dgm:cxn modelId="{613C6BD0-A57D-467E-910D-C27B77641CFF}" type="presParOf" srcId="{EC9CF8E5-631D-40ED-AA67-D0E147F010FB}" destId="{846D101B-5055-41C1-B4D6-793D138C7EFC}" srcOrd="9" destOrd="0" presId="urn:microsoft.com/office/officeart/2005/8/layout/process5"/>
    <dgm:cxn modelId="{5B6972F4-2E67-4B50-93D8-9D7E2893040B}" type="presParOf" srcId="{846D101B-5055-41C1-B4D6-793D138C7EFC}" destId="{23D4DBA6-6C2B-471A-A30E-D1ECAB4BC5D0}" srcOrd="0" destOrd="0" presId="urn:microsoft.com/office/officeart/2005/8/layout/process5"/>
    <dgm:cxn modelId="{10C97D72-D97A-4EF9-A386-8872E5955DA7}" type="presParOf" srcId="{EC9CF8E5-631D-40ED-AA67-D0E147F010FB}" destId="{E7DFDEEF-769E-4C92-9470-EE26067C6400}" srcOrd="10" destOrd="0" presId="urn:microsoft.com/office/officeart/2005/8/layout/process5"/>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6A924D-5B0B-4902-B3AA-2C464FDBDE1C}">
      <dsp:nvSpPr>
        <dsp:cNvPr id="0" name=""/>
        <dsp:cNvSpPr/>
      </dsp:nvSpPr>
      <dsp:spPr>
        <a:xfrm>
          <a:off x="22056" y="106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Develop Leslie Matrix:</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Mean Age Specific Demographic Parameters</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1986-2011</a:t>
          </a:r>
        </a:p>
      </dsp:txBody>
      <dsp:txXfrm>
        <a:off x="65253" y="44262"/>
        <a:ext cx="2371725" cy="1388477"/>
      </dsp:txXfrm>
    </dsp:sp>
    <dsp:sp modelId="{D40CE68F-88B3-469B-921E-839224870FE8}">
      <dsp:nvSpPr>
        <dsp:cNvPr id="0" name=""/>
        <dsp:cNvSpPr/>
      </dsp:nvSpPr>
      <dsp:spPr>
        <a:xfrm>
          <a:off x="2696490" y="433694"/>
          <a:ext cx="521121"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a:off x="2696490" y="555617"/>
        <a:ext cx="364785" cy="365767"/>
      </dsp:txXfrm>
    </dsp:sp>
    <dsp:sp modelId="{08D80F76-729F-4015-9E61-57385D6A7B39}">
      <dsp:nvSpPr>
        <dsp:cNvPr id="0" name=""/>
        <dsp:cNvSpPr/>
      </dsp:nvSpPr>
      <dsp:spPr>
        <a:xfrm>
          <a:off x="3463423" y="106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Develop Leslie Matrix:</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Annual variation / stochasticity in</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 Demographic  Parameters</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1999-2008</a:t>
          </a:r>
        </a:p>
      </dsp:txBody>
      <dsp:txXfrm>
        <a:off x="3506620" y="44262"/>
        <a:ext cx="2371725" cy="1388477"/>
      </dsp:txXfrm>
    </dsp:sp>
    <dsp:sp modelId="{4590121C-336C-48A3-B82E-C593CF06AC9A}">
      <dsp:nvSpPr>
        <dsp:cNvPr id="0" name=""/>
        <dsp:cNvSpPr/>
      </dsp:nvSpPr>
      <dsp:spPr>
        <a:xfrm rot="5400000">
          <a:off x="4431923" y="1648005"/>
          <a:ext cx="521121"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rot="-5400000">
        <a:off x="4509600" y="1692251"/>
        <a:ext cx="365767" cy="364785"/>
      </dsp:txXfrm>
    </dsp:sp>
    <dsp:sp modelId="{26F29F4E-3124-4437-BC46-6C3253EF9A3F}">
      <dsp:nvSpPr>
        <dsp:cNvPr id="0" name=""/>
        <dsp:cNvSpPr/>
      </dsp:nvSpPr>
      <dsp:spPr>
        <a:xfrm>
          <a:off x="3463423" y="245918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Develop model:</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Matrix population modelling using 2011 population size</a:t>
          </a:r>
        </a:p>
      </dsp:txBody>
      <dsp:txXfrm>
        <a:off x="3506620" y="2502382"/>
        <a:ext cx="2371725" cy="1388477"/>
      </dsp:txXfrm>
    </dsp:sp>
    <dsp:sp modelId="{6892F830-3E2C-4CEC-BC4A-05573EE9237C}">
      <dsp:nvSpPr>
        <dsp:cNvPr id="0" name=""/>
        <dsp:cNvSpPr/>
      </dsp:nvSpPr>
      <dsp:spPr>
        <a:xfrm rot="10800000">
          <a:off x="2725988" y="2891814"/>
          <a:ext cx="521121"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rot="10800000">
        <a:off x="2882324" y="3013737"/>
        <a:ext cx="364785" cy="365767"/>
      </dsp:txXfrm>
    </dsp:sp>
    <dsp:sp modelId="{467B672A-8600-4075-9695-B9E65F296BDC}">
      <dsp:nvSpPr>
        <dsp:cNvPr id="0" name=""/>
        <dsp:cNvSpPr/>
      </dsp:nvSpPr>
      <dsp:spPr>
        <a:xfrm>
          <a:off x="22056" y="2459185"/>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Incoporate enviromental variabilty: </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Apply 3 environmental conditions scenarios based on incidence of breeding failure</a:t>
          </a:r>
        </a:p>
      </dsp:txBody>
      <dsp:txXfrm>
        <a:off x="65253" y="2502382"/>
        <a:ext cx="2371725" cy="1388477"/>
      </dsp:txXfrm>
    </dsp:sp>
    <dsp:sp modelId="{96229DA7-1003-4B87-8D79-23FA07A43FAC}">
      <dsp:nvSpPr>
        <dsp:cNvPr id="0" name=""/>
        <dsp:cNvSpPr/>
      </dsp:nvSpPr>
      <dsp:spPr>
        <a:xfrm rot="5433627">
          <a:off x="1033712" y="4007154"/>
          <a:ext cx="412987" cy="60961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endParaRPr lang="en-US" sz="2000" kern="1200">
            <a:solidFill>
              <a:sysClr val="window" lastClr="FFFFFF"/>
            </a:solidFill>
            <a:latin typeface="Calibri"/>
            <a:ea typeface="+mn-ea"/>
            <a:cs typeface="+mn-cs"/>
          </a:endParaRPr>
        </a:p>
      </dsp:txBody>
      <dsp:txXfrm rot="-5400000">
        <a:off x="1057928" y="4105470"/>
        <a:ext cx="365767" cy="289091"/>
      </dsp:txXfrm>
    </dsp:sp>
    <dsp:sp modelId="{F9E7F555-89E0-4900-97BF-82ABF8A70B8B}">
      <dsp:nvSpPr>
        <dsp:cNvPr id="0" name=""/>
        <dsp:cNvSpPr/>
      </dsp:nvSpPr>
      <dsp:spPr>
        <a:xfrm>
          <a:off x="6" y="4713241"/>
          <a:ext cx="2458119" cy="147487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Determine Population growth rate and mortality impacts:</a:t>
          </a:r>
        </a:p>
        <a:p>
          <a:pPr lvl="0" algn="ctr" defTabSz="622300">
            <a:lnSpc>
              <a:spcPct val="90000"/>
            </a:lnSpc>
            <a:spcBef>
              <a:spcPct val="0"/>
            </a:spcBef>
            <a:spcAft>
              <a:spcPct val="35000"/>
            </a:spcAft>
          </a:pPr>
          <a:r>
            <a:rPr lang="en-US" sz="1400" kern="1200">
              <a:solidFill>
                <a:sysClr val="window" lastClr="FFFFFF"/>
              </a:solidFill>
              <a:latin typeface="Calibri"/>
              <a:ea typeface="+mn-ea"/>
              <a:cs typeface="+mn-cs"/>
            </a:rPr>
            <a:t>Model 20 year population change for each scenario  with and without additional mortality (</a:t>
          </a:r>
          <a:r>
            <a:rPr lang="en-US" sz="1400" i="1" kern="1200">
              <a:solidFill>
                <a:sysClr val="window" lastClr="FFFFFF"/>
              </a:solidFill>
              <a:latin typeface="Calibri"/>
              <a:ea typeface="+mn-ea"/>
              <a:cs typeface="+mn-cs"/>
            </a:rPr>
            <a:t>C</a:t>
          </a:r>
          <a:r>
            <a:rPr lang="en-US" sz="1400" i="0" kern="1200">
              <a:solidFill>
                <a:sysClr val="window" lastClr="FFFFFF"/>
              </a:solidFill>
              <a:latin typeface="Calibri"/>
              <a:ea typeface="+mn-ea"/>
              <a:cs typeface="+mn-cs"/>
            </a:rPr>
            <a:t>)</a:t>
          </a:r>
          <a:endParaRPr lang="en-US" sz="1400" i="1" kern="1200">
            <a:solidFill>
              <a:sysClr val="window" lastClr="FFFFFF"/>
            </a:solidFill>
            <a:latin typeface="Calibri"/>
            <a:ea typeface="+mn-ea"/>
            <a:cs typeface="+mn-cs"/>
          </a:endParaRPr>
        </a:p>
      </dsp:txBody>
      <dsp:txXfrm>
        <a:off x="43203" y="4756438"/>
        <a:ext cx="2371725" cy="1388477"/>
      </dsp:txXfrm>
    </dsp:sp>
    <dsp:sp modelId="{846D101B-5055-41C1-B4D6-793D138C7EFC}">
      <dsp:nvSpPr>
        <dsp:cNvPr id="0" name=""/>
        <dsp:cNvSpPr/>
      </dsp:nvSpPr>
      <dsp:spPr>
        <a:xfrm rot="101244">
          <a:off x="2847651" y="5459241"/>
          <a:ext cx="749593" cy="609613"/>
        </a:xfrm>
        <a:prstGeom prst="rightArrow">
          <a:avLst>
            <a:gd name="adj1" fmla="val 60000"/>
            <a:gd name="adj2" fmla="val 50000"/>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n-US" sz="2600" kern="1200">
            <a:solidFill>
              <a:sysClr val="window" lastClr="FFFFFF"/>
            </a:solidFill>
            <a:latin typeface="Calibri"/>
            <a:ea typeface="+mn-ea"/>
            <a:cs typeface="+mn-cs"/>
          </a:endParaRPr>
        </a:p>
      </dsp:txBody>
      <dsp:txXfrm>
        <a:off x="2847691" y="5578471"/>
        <a:ext cx="566709" cy="365767"/>
      </dsp:txXfrm>
    </dsp:sp>
    <dsp:sp modelId="{E7DFDEEF-769E-4C92-9470-EE26067C6400}">
      <dsp:nvSpPr>
        <dsp:cNvPr id="0" name=""/>
        <dsp:cNvSpPr/>
      </dsp:nvSpPr>
      <dsp:spPr>
        <a:xfrm>
          <a:off x="3871840" y="4773711"/>
          <a:ext cx="1876725" cy="1564927"/>
        </a:xfrm>
        <a:prstGeom prst="roundRect">
          <a:avLst>
            <a:gd name="adj" fmla="val 10000"/>
          </a:avLst>
        </a:prstGeom>
        <a:blipFill rotWithShape="0">
          <a:blip xmlns:r="http://schemas.openxmlformats.org/officeDocument/2006/relationships" r:embed="rId1"/>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3840" tIns="243840" rIns="243840" bIns="243840" numCol="1" spcCol="1270" anchor="ctr" anchorCtr="0">
          <a:noAutofit/>
        </a:bodyPr>
        <a:lstStyle/>
        <a:p>
          <a:pPr lvl="0" algn="ctr" defTabSz="2844800">
            <a:lnSpc>
              <a:spcPct val="90000"/>
            </a:lnSpc>
            <a:spcBef>
              <a:spcPct val="0"/>
            </a:spcBef>
            <a:spcAft>
              <a:spcPct val="35000"/>
            </a:spcAft>
          </a:pPr>
          <a:endParaRPr lang="en-US" sz="6400" kern="1200">
            <a:solidFill>
              <a:sysClr val="window" lastClr="FFFFFF"/>
            </a:solidFill>
            <a:latin typeface="Calibri"/>
            <a:ea typeface="+mn-ea"/>
            <a:cs typeface="+mn-cs"/>
          </a:endParaRPr>
        </a:p>
      </dsp:txBody>
      <dsp:txXfrm>
        <a:off x="3917675" y="4819546"/>
        <a:ext cx="1785055" cy="147325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B031E6C2-E7E1-4BD4-9A5E-1BCCB6FFDB39}"/>
</file>

<file path=customXml/itemProps2.xml><?xml version="1.0" encoding="utf-8"?>
<ds:datastoreItem xmlns:ds="http://schemas.openxmlformats.org/officeDocument/2006/customXml" ds:itemID="{0F9AD88F-A1C1-4955-8E99-B01C5FC2559E}"/>
</file>

<file path=customXml/itemProps3.xml><?xml version="1.0" encoding="utf-8"?>
<ds:datastoreItem xmlns:ds="http://schemas.openxmlformats.org/officeDocument/2006/customXml" ds:itemID="{6BED04F6-5852-4465-8972-D55BF09BBC07}"/>
</file>

<file path=docProps/app.xml><?xml version="1.0" encoding="utf-8"?>
<Properties xmlns="http://schemas.openxmlformats.org/officeDocument/2006/extended-properties" xmlns:vt="http://schemas.openxmlformats.org/officeDocument/2006/docPropsVTypes">
  <Template>Normal</Template>
  <TotalTime>45</TotalTime>
  <Pages>7</Pages>
  <Words>1736</Words>
  <Characters>9898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Bradley</dc:creator>
  <cp:keywords/>
  <dc:description/>
  <cp:lastModifiedBy>Russell Bradley</cp:lastModifiedBy>
  <cp:revision>12</cp:revision>
  <dcterms:created xsi:type="dcterms:W3CDTF">2018-03-15T18:45:00Z</dcterms:created>
  <dcterms:modified xsi:type="dcterms:W3CDTF">2018-03-15T19:44:00Z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474700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